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D-7466/2025 vom 9. Oktober 2025</w:t>
      </w:r>
    </w:p>
    <w:p>
      <w:r>
        <w:t>Bundesverwaltungsgericht, 2025-10-09, DE</w:t>
      </w:r>
    </w:p>
    <w:p>
      <w:r>
        <w:rPr>
          <w:b/>
        </w:rPr>
        <w:t xml:space="preserve">Quelle: </w:t>
      </w:r>
      <w:r>
        <w:t>https://mcp.opencaselaw.ch/entscheid/bvger_D-7466_2025</w:t>
      </w:r>
    </w:p>
    <w:p>
      <w:r>
        <w:t>FR: TAF D-7466/2025 du 9 octobre 2025</w:t>
      </w:r>
    </w:p>
    <w:p>
      <w:r>
        <w:t>IT: TAF D-7466/2025 del 9 ottobre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D-7466/2025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Die vorliegende Beschwerde richtet sich nach ihrem Wortlaut zwar auch gegen die Dispositivziffer 3 der angefochtenen Verfügung, es werden aber für den Fall der Aufhebung der Wegweisung keine reformatorischen Anträge gestellt. Diese lauten lediglich auf die vorläufige Aufnahme. Auch aus der Beschwerdebegründung geht nur eine Anfechtung im Vollzugs- punkt hervor, weshalb die Dispositivziffer 3 als nicht angefochten zu erach- ten ist und einzig der Vollzugspunkt (Dispositivziffern 4 und 5) Prozessge- genstand ist. Folglich sind die Dispositivziffern 1 bis 3 der angefochtenen Verfügung mangels Anfechtung in Rechtskraft erwachsen und bilden nicht Gegenstand des Verfahrens.</w:t>
      </w:r>
    </w:p>
    <w:p>
      <w:r>
        <w:rPr>
          <w:b/>
        </w:rPr>
        <w:t>E. 2</w:t>
      </w:r>
    </w:p>
    <w:p>
      <w:r>
        <w:t>Die Kognition des Bundesverwaltungsgerichts und die zulässigen Rügen richten sich vorliegend nach Art. 49 VwVG.</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Der Beschwerdeführer erhob hinsichtlich des Wegweisungsvollzugs die formellen Rügen der unvollständigen Sachverhaltsabklärung und der Verletzung der Untersuchungs- sowie Begründungspflicht. Einerseits habe die Vorinstanz für die Rückkehr weder die Übergabe des unbegleiteten Minderjährigen noch die Wohn- und Betreuungsorganisation im Heimat- staat abgeklärt. Andererseits basiere der angefochtene Entscheid mangels Vorliegens der Untersuchungsergebnisse in Bezug auf die psychische Stö- rung und der komplexen Herzerkrankung auf einem unvollständigen medi- zinischen Sachverhalt. Diese Rügen sind vorab zu beurteilen, da sie</w:t>
      </w:r>
    </w:p>
    <w:p>
      <w:r>
        <w:t>D-7466/2025 Seite 5 gegebenenfalls geeignet sind, eine Kassation der vorinstanzlichen Verfü- gung zu bewirken.</w:t>
      </w:r>
    </w:p>
    <w:p>
      <w:r>
        <w:rPr>
          <w:b/>
        </w:rPr>
        <w:t>E. 4.2</w:t>
      </w:r>
    </w:p>
    <w:p>
      <w:r>
        <w:t>Wie sich auch aus nachstehenden Erwägungen ergibt, hat die Vo- rinstanz den Sachverhalt insgesamt rechtsgenüglich abgeklärt und sich hinreichend differenziert mit den zentralen Vorbringen und den Beweismit- teln des Beschwerdeführers auseinandergesetzt. Der (medizinische) Sachverhalt war bereits im Zeitpunkt der angefochtenen Verfügung rechts- genüglich festgestellt worden. So hat die Vorinstanz die gesundheitlichen Probleme des Beschwerdeführers in ihrer Einschätzung zur Zumutbarkeit des Wegweisungsvollzugs berücksichtigt und gebührend gewürdigt. Ent- gegen der Beschwerde hätte die im Rahmen der Stellungnahme zum Ent- scheidentwurf eingereichte Emailbestätigung einer psychotherapeutischen Behandlung des Beschwerdeführers (A25/1) die Vorinstanz nicht dazu ver- anlassen müssen, allfällige weitere medizinische Berichte abzuwarten. Sie hat in ihren nachvollziehbaren und detaillierten Ausführungen hinreichend dargelegt, aus welchen Gründen keine Notwendigkeit bestand, weitere medizinische Unterlagen abzuwarten (vi-Entscheid, Ziff. III/2 lit. b).</w:t>
      </w:r>
    </w:p>
    <w:p>
      <w:r>
        <w:t>Nach ständiger Rechtsprechung des Bundesverwaltungsgerichts haben die asylrechtlichen Behörden das Kindeswohl im Rahmen der Zumutbar- keitsprüfung als gewichtigen Aspekt zu berücksichtigen. Vor einer Aus- schaffung von unbegleiteten minderjährigen Personen hat das SEM sicher- zustellen, dass diese im Rückkehrstaat einem Familienmitglied, einem Vor- mund oder – wo dies nicht möglich ist – einer geeigneten Aufnahmeein- richtung übergeben werden, welche den Schutz des Kindes gewährleisten (Art. 69 Abs. 4 AIG, Art. 3 und 22 der Kinderrechtskonvention [KRK]; BVGE VI/3 2021 E. 5.4 m.w.H; BVGE 2015/30 E. 7.3 m.w.H.; EMARK 2006 Nr. 24 E. 6.2.4; EMARK 1998 Nr. 13 E. 5e.bb S. 100). Der unbestrittenermassen noch minderjährige Beschwerdeführer steht an der Schwelle zur Volljährig- keit (10. Januar 2026). Angesichts dessen sowie in Berücksichtigung sei- ner spätestens seit 2022 eigenständigen Reisen und Aufenthalte im Aus- land (A13/12, Ziff. 5.02: Mali, Gao, Algerien, Libyen und Italien), wo er ei- nerseits in der Lage war, für seine administrativen Angelegenheiten einzu- stehen (Korrektur Personalien; A13/12, Ziff. 2.06) sowie in Italien mit Hilfe einer Kirche einen operativen Eingriff in Monaco organisieren zu lassen (A21/12, F59; A21/12, F23), darf insgesamt von einer angemessenen Reife und Selbständigkeit ausgegangen werden. Alsdann gehen aus den Akten und Angaben des Beschwerdeführers keine Anhaltspunkte dafür hervor, seine Mutter sei im Heimatstaat nicht «verfügbar». Vielmehr ist von einer bisher guten Beziehung zwischen Mutter und Sohn, einer möglichen</w:t>
      </w:r>
    </w:p>
    <w:p>
      <w:r>
        <w:t>D-7466/2025 Seite 6 Kontaktaufnahme am neuen Wohnort und – sofern notwendig – von ihrer weiteren Unterstützung des Beschwerdeführers auszugehen, wobei die Betreuungsnotwendigkeit nicht nur durch seine Reife, sondern auch allge- mein mit zunehmenden Alter abgeschwächt wird. Es ist auf die nachste- henden konkreten und weitergehenden Erwägungen (E. 7.3, insbesondere E. 7.3.2) zur individuellen Zumutbarkeit des Wegweisungsvollzugs hinzu- weisen. Bei einer Gesamtwürdigung konnte die Vorinstanz vorliegend im Zeitpunkt des Erlasses der angefochtenen Verfügung auf Abklärungen zur Ausgestaltung der konkreten Vollzugsmodalitäten, welche bei unbegleite- ten Minderjährigen im Sinne des Kindeswohls im Vorfeld vorzunehmen sind, beim bald volljährigen Beschwerdeführer verzichten. Die vom Be- schwerdeführer ins Feld geführte Ausgestaltung seiner Rückkehr im Zeit- punkt des Erlasses der vorinstanzlichen Verfügung musste vorliegend noch nicht zwingend konkret feststehen (vgl. dazu etwa Urteil des BVGer D-817/2024 vom 29. April 2024 E. 4.3.2). Es ist insgesamt keine Verletzung der Untersuchungs- oder Begründungspflicht ersichtlich.</w:t>
      </w:r>
    </w:p>
    <w:p>
      <w:r>
        <w:rPr>
          <w:b/>
        </w:rPr>
        <w:t>E. 4.3</w:t>
      </w:r>
    </w:p>
    <w:p>
      <w:r>
        <w:t>Die formellen Rügen erweisen sich als unbegründet und es besteht keine Veranlassung, die Verfügung aus formellen Gründen aufzuheben und die Sache an die Vorinstanz zurückzuweisen. Der Eventualantrag ist demnach abzuweisen.</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Der Vollzug der Wegweisung ist nicht zulässig, wenn völkerrechtliche Ver- pflichtungen der Schweiz einer Weiterreise der Ausländerin oder des Aus- länders in den Heimat-, Herkunfts- oder einen Drittstaat entgegenstehen (Art. 83 Abs. 3 AIG).</w:t>
      </w:r>
    </w:p>
    <w:p>
      <w:r>
        <w:t>D-7466/2025 Seite 7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 gen Italien, Urteil vom 28. Februar 2008, Nr. 37201/06, §§ 124– 127 m.w.H.). Es sind keine Anhaltspunkte dafür ersichtlich, dass der Be- 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(vgl. Urteil des BVGer D-6256/2025 vom 28. August 2025 E. 7.2 m.w.H.).</w:t>
      </w:r>
    </w:p>
    <w:p>
      <w:r>
        <w:t>Nach dem Gesagten ist der Vollzug der Wegweisung sowohl im Sinne der landes- als auch der völkerrechtlichen Bestimmungen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Beschwerdeführer untersteht als unbegleite- ter minderjähriger Asylsuchender den Normen der Kinderrechtskonvention (KRK). Das Kindswohl gemäss Art. 3 KRK und die aus der KRK fliessen- den Rechte sind im Rahmen der Zumutbarkeitsprüfung von Art. 83 Abs. 4 AIG als gewichtiger Aspekt zu berücksichtigen (vgl. BVGE 2014/20 E. 8.3.6; 2009/51 E. 5.6, je m.w.H.). Im Rahmen einer gesamtheitlichen Beurteilung sind unter dem Aspekt des Wohls des Kindes folgende Krite- rien von Bedeutung: Alter, Reife, Abhängigkeiten, Art (Nähe, Intensität,</w:t>
      </w:r>
    </w:p>
    <w:p>
      <w:r>
        <w:t>D-7466/2025 Seite 8 Tragfähigkeit) seiner Beziehungen, Eigenschaften seiner Bezugspersonen (insbesondere Unterstützungsbereitschaft und -fähigkeit), Stand und Prog- nose bezüglich Entwicklung/Ausbildung sowie der Grad der erfolgten In- tegration bei einem längeren Aufenthalt in der Schweiz (vgl. BVGE 2015/30 E. 7.3 und 2009/51 E. 5.6). Wird eine konkrete Gefährdung festgestellt, ist – unter Vorbehalt von Art. 83 Abs. 7 AIG – die vorläufige Aufnahme zu ge- währen.</w:t>
      </w:r>
    </w:p>
    <w:p>
      <w:r>
        <w:rPr>
          <w:b/>
        </w:rPr>
        <w:t>E. 7.2</w:t>
      </w:r>
    </w:p>
    <w:p>
      <w:r>
        <w:t>Das Bundesverwaltungsgericht geht in ständiger Praxis davon aus, dass in der Republik Côte d'Ivoire keine Situation allgemeiner Gewalt herrscht (vgl. dazu das Referenzurteil E-2349/2016 vom 16. Oktober 2017 E. 7.3; statt vieler bestätigt im Urteil des BVGer D-6256/2025 vom 28. Au- gust 2025 E. 7.3 m.w.H.). Der Beschwerdeführer bringt in seiner Eingabe nichts Gegenteiliges vor. Der Vollzug der Wegweisung in die Republik Côte d'Ivoire ist daher als generell zumutbar zu erachten.</w:t>
      </w:r>
    </w:p>
    <w:p>
      <w:r>
        <w:rPr>
          <w:b/>
        </w:rPr>
        <w:t>E. 7.3.1</w:t>
      </w:r>
    </w:p>
    <w:p>
      <w:r>
        <w:t>Mit Blick auf das Kindeswohl ergeben sich keine Hinweise, die der individuellen Zumutbarkeit des Wegweisungsvollzugs entgegenstünden. In der Beschwerde werden keine Argumente angeführt, welche zu einer an- deren Betrachtungsweise führen, denn sie erschöpfen sich hauptsächlich in einer Wiederholung der Rüge eines zur Beurteilung des Wegweisungs- vollzugs ungenügend erstellten Sachverhaltes (vgl. vorstehend E. 4 und nachstehende E. 7.3.2 f.).</w:t>
      </w:r>
    </w:p>
    <w:p>
      <w:r>
        <w:rPr>
          <w:b/>
        </w:rPr>
        <w:t>E. 7.3.2</w:t>
      </w:r>
    </w:p>
    <w:p>
      <w:r>
        <w:t>Es ist mit der Vorinstanz festzuhalten, dass die nach der Ausreise (2021) beziehungsweise spätestens ab Ende 2022 erfolgten selbständigen Reisen und Aufenthalte eine hohe Eigenständigkeit des Beschwerdefüh- rers aufzeigen. Auch wenn der persönliche Kontakt zu seiner Mutter nach seiner Ausreise nicht aufrechterhalten werden konnte, ist aus seinen An- gaben auf ein gutes Verhältnis zur Mutter zu schliessen, zumal sie die Ge- walt des Vaters gegenüber dem Beschwerdeführer nicht guthiess und je- nen deswegen selbst verlassen hat. Sie wohnt gemäss den Angaben des Beschwerdeführers im ivorischen Dorf Niamana (A21/12, F30 ff.), das sich rund 450 km entfernt von Biadala, wo sich sein Vater nach wie vor aufhält, befindet. Somit hat sie seit der Ausreise des Beschwerdeführers Schutz- bemühungen unternommen, was auch ihm zu Gute kommen kann. Den Argumenten in der Beschwerde (S. 7) in Bezug auf den angeblich fehlen- den Schutz des Beschwerdeführers durch die Mutter wird durch ihren Um- zug die Grundlage entzogen. Es ist weder aus den Angaben noch den Ak- ten darauf zu schliessen, der Beschwerdeführer könne bei seiner Rückkehr</w:t>
      </w:r>
    </w:p>
    <w:p>
      <w:r>
        <w:t>D-7466/2025 Seite 9 nicht mehr auf die familiäre Unterstützung seiner Mutter zählen (A13/12, Ziff. 7.01), wobei ihm die Rückkehr an einen innerstaatlich alternativen Ort – auch angesichts seiner Reiseerfahrungen – zuzumuten ist. Überdies ist dem bald volljährigen Beschwerdeführer bei einer Gesamtwürdigung sei- ner Situation die Zumutbarkeit eines zukünftigen eigenen Schutzersuchens bei allfälligen (weiteren) Übergriffen (von Dritten) zuzumuten. Unter Be- rücksichtigung der bald eintretenden Volljährigkeit, seiner Reise und der Arbeitserfahrung (Hirte; A21/12, F23) darf – trotz fehlender Schulbildung – insgesamt von einer angemessenen Reife und Selbständigkeit des Be- schwerdeführers ausgegangen werden. Er wuchs in seinem Heimatstaat auf, war vor seiner Ausreise noch nie zuvor im Ausland und ist erst seit rund vier Monaten in der Schweiz (A21/12, F10). Es ist anzunehmen, dass er durch die Rückkehr nicht entwurzelt wird und sich problemlos im Hei- matstaat wiedereingliedern kann. Eine Kindeswohlgefährdung ist unter die- sen genannten Aspekten nicht erkennbar. Bei einer Gesamtwürdigung ist bei einer Rückkehr in den Heimatstaat nicht von einer konkreten Gefähr- dung auszugehen. Die Zumutbarkeit des Wegweisungsvollzugs ist auf- grund der konkreten Umstände erfüllt. Der Hinweis auf eine öffentliche Stu- die zur Gewalt gegen Kinder und Jugendliche in der Republik Côte d'Ivoire (Beschwerde, S. 9) vermag an dieser Einschätzung nichts zu ändern. Das Asylverfahren in der Schweiz kann alsdann weder dazu dienen, ein allfällig im Heimatstaat erlittenes Leid (Gewalt des Vaters, Armut) wiedergutzuma- chen, noch Kindern aus ärmeren Verhältnissen eines anderen Landes eine Ausbildung zu verschaffen (A13/12, Ziff. 9.01: «Ich bitte um Schutz der Schweiz. […] Ich möchte zur Schule gehen und mich integrieren»).</w:t>
      </w:r>
    </w:p>
    <w:p>
      <w:r>
        <w:rPr>
          <w:b/>
        </w:rPr>
        <w:t>E. 7.3.3</w:t>
      </w:r>
    </w:p>
    <w:p>
      <w:r>
        <w:t>Hinsichtlich des Gesundheitszustandes des Beschwerdeführers ist festzuhalten, dass gemäss Praxis des Bundesverwaltungsgerichts nur dann aus medizinischen Gründen auf die Unzumutbarkeit des Wegwei- sungsvollzugs geschlossen werden kann, wenn eine notwendige Behand- lung im Heimatland nicht zur Verfügung steht und die Rückkehr zu einer raschen und lebensgefährdenden Beeinträchtigung des Gesundheitszu- standes der betroffenen Person führt. Dabei wird diejenige allgemeine und dringende medizinische Behandlung als relevant erachtet, die zur Gewähr- leistung einer menschenwürdigen Existenz absolut notwendig ist. Unzu- mutbarkeit liegt jedenfalls nicht bereits dann vor, wenn im Heimat- oder Herkunftsstaat nicht eine dem hohen schweizerischen Standard entspre- chende medizinische Behandlung möglich ist (vgl. BVGE 2011/50 E. 8.3, 2009/52 E. 10.1, 2009/51 E. 5.5, 2009/28 E. 9.3.1, 2009/2 E. 9.3.2). Aus den Akten und den auf Beschwerdeebene eingereichten Arztberichten ge- hen die Diagnosen einer PTBS, eines perimembranösen Ventrikel-</w:t>
      </w:r>
    </w:p>
    <w:p>
      <w:r>
        <w:t>D-7466/2025 Seite 10 septumdefekts (VSD; angeborenes Loch in der Scheidewand der Herz- kammern) mit relevantem Links-Rechts-Shunt nach einer Herzoperation, störende Thoraxschmerzen im Bereich der Operationsnarbe und der Ver- dacht auf Krätze hervor (Beschwerdebeilagen 4 bis 6). Beim ebenso darin attestierten guten Allgemeinzustand des Beschwerdeführers ist weder aus den Akten noch den Beschwerdebeilagen oder dem Arztbericht des Stadt- spitals Zürich Triemli vom 21. August 2025 (Beschwerdebeilage 5; Akten des BVGer 3) ersichtlich, die gesundheitlichen Probleme seien als derart gravierend zu qualifizieren, dass sie bei einer Rückkehr nach Côte d'Ivoire zu einer raschen und lebensgefährdenden medizinischen Notlage führen würden. Es ist von der grundsätzlichen Behandelbarkeit der gesundheitli- chen Beschwerden in Côte d'Ivoire auszugehen, da es dort eine medizini- sche, wenn auch begrenzte, Infrastruktur gibt und eine grundlegende me- dizinische Versorgung, einschliesslich psychiatrischer Versorgung, gebo- ten wird (vgl. statt vieler Urteil des BVGer D-5375/2024 vom 31. Januar 2025 E. 9.3.5). Allfälligen akuten, psychischen Problemen oder suizidalen Tendenzen sind gegebenenfalls durch geeignete Massnahmen – falls nötig auch im Rahmen der Vollzugsmodalitäten – Rechnung zu tragen. Es ist auf die Möglichkeit, bei Bedarf einen Antrag auf Gewährung individueller me- dizinischer Rückkehrhilfe zu stellen, hinzuweisen (vgl. Art. 93 Abs. 1 Bst. d AsylG; Art. 75 der Asylverordnung 2 über Finanzierungsfragen vom 11. Au- gust 1999 [AsylV 2, SR 142.312]). Vor diesem Hintergrund besteht (auch) auf Beschwerdeebene keine Notwendigkeit, weitere medizinische Berichte oder Abklärungen abzuwarten.</w:t>
      </w:r>
    </w:p>
    <w:p>
      <w:r>
        <w:rPr>
          <w:b/>
        </w:rPr>
        <w:t>E. 7.4</w:t>
      </w:r>
    </w:p>
    <w:p>
      <w:r>
        <w:t>Nach dem Gesagten erweist sich der Vollzug der Wegweisung sowohl in genereller als auch in individueller Hinsicht als zumutbar.</w:t>
      </w:r>
    </w:p>
    <w:p>
      <w:r>
        <w:rPr>
          <w:b/>
        </w:rPr>
        <w:t>E. 8</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Die Anordnung der vorläu- figen Aufnahme fällt somit ausser Betracht (Art. 83 Abs. 1–4 AIG).</w:t>
      </w:r>
    </w:p>
    <w:p>
      <w:r>
        <w:t>D-7466/2025 Seite 11</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einer allfälligen Fürsorgeabhängig- keit – abzuweisen ist.</w:t>
      </w:r>
    </w:p>
    <w:p>
      <w:r>
        <w:rPr>
          <w:b/>
        </w:rPr>
        <w:t>E. 11.2</w:t>
      </w:r>
    </w:p>
    <w:p>
      <w:r>
        <w:t>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 (Dispositiv nächste Seite)</w:t>
      </w:r>
    </w:p>
    <w:p>
      <w:r>
        <w:t>D-7466/2025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