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D-7466/2024 vom 2. April 2025</w:t>
      </w:r>
    </w:p>
    <w:p>
      <w:r>
        <w:t>Bundesverwaltungsgericht, 2025-04-02, IT</w:t>
      </w:r>
    </w:p>
    <w:p>
      <w:r>
        <w:rPr>
          <w:b/>
        </w:rPr>
        <w:t xml:space="preserve">Quelle: </w:t>
      </w:r>
      <w:r>
        <w:t>https://mcp.opencaselaw.ch/entscheid/bvger_D-7466_2024</w:t>
      </w:r>
    </w:p>
    <w:p>
      <w:r>
        <w:t>FR: TAF D-7466/2024 du 2 avril 2025</w:t>
      </w:r>
    </w:p>
    <w:p>
      <w:r>
        <w:t>IT: TAF D-7466/2024 del 2 aprile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quindi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inferiore ha ritenuto le dichiarazioni rese dal ricorrente circa gli eventi che lo avrebbero condotto all’espatrio, invero- simili, a causa delle contraddizioni, vaghezze ed illogicità presenti nel suo racconto, anche in relazione all’avviso di ricerca prodotto in copia a sup- porto. La SEM, alla luce di quanto precede, ha quindi ritenuto di potersi esimere dall’analizzare se i fatti addotti dall’insorgente fossero pure rile- vanti dal profilo dell’asilo.</w:t>
      </w:r>
    </w:p>
    <w:p>
      <w:r>
        <w:rPr>
          <w:b/>
        </w:rPr>
        <w:t>E. 4.2</w:t>
      </w:r>
    </w:p>
    <w:p>
      <w:r>
        <w:t>Il ricorrente, nel suo gravame, ha avversato le conclusioni dell’autorità inferiore, sottoponendo, in punto ad alcune contestazioni presenti nella de- cisione, le sue argomentazioni in favore della verosimiglianza delle sue di- chiarazioni.</w:t>
      </w:r>
    </w:p>
    <w:p>
      <w:r>
        <w:t>D-7466/2024 Pagina 6</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5.4</w:t>
      </w:r>
    </w:p>
    <w:p>
      <w:r>
        <w:t>Il Tribunale condivide la conclusione alla quale la SEM è giunta nella decisione avversata circa l’inverosimiglianza degli asserti del ricorrente, in relazione ai fatti che sarebbero avvenuti a causa del suo manifestato dis- senso nei confronti del “(…)” della sua (…) e per la sua intenzione di la- sciare il partito (…). Ciò in quanto gli stessi sono costellati da importanti incoerenze, vaghezze ed illogicità.</w:t>
      </w:r>
    </w:p>
    <w:p>
      <w:r>
        <w:rPr>
          <w:b/>
        </w:rPr>
        <w:t>E. 5.4.1</w:t>
      </w:r>
    </w:p>
    <w:p>
      <w:r>
        <w:t>A titolo esemplificativo, il ricorrente nel corso dell’audizione sui motivi ha dapprima asserito che gli agenti giunti a casa sua l’(…), non gli avreb- bero riferito i motivi del suo arresto, dichiarando soltanto che: “Non siamo noi quelli che devono rispondere”, avendo invece compreso soltanto in se- guito nella brigata di G._______ che (…) avrebbero chiesto il suo arresto (cfr. n. 41/17, D39, pag. 6). Senonché invece, in seguito, a domanda spe- cifica della funzionaria incaricata della SEM, il ricorrente si è contraddetto rispetto alla descrizione precedentemente fornita, riferendo che erano stati gli stessi gendarmi giunti al suo domicilio che gli avrebbero detto come (…) avrebbero chiesto il suo arresto (cfr. ibidem, D61 seg., pag. 11). Quanto</w:t>
      </w:r>
    </w:p>
    <w:p>
      <w:r>
        <w:t>D-7466/2024 Pagina 7 obiettato in proposito dal ricorrente nel gravame, ovvero che la motivazione del suo arresto l’avrebbe scoperta soltanto in gendarmeria e per questo non sarebbe caduto in contraddizione come invece sostenuto nella deci- sione avversata (cfr. p.to 3, pag. 3 del ricorso), non è tuttavia in grado di spiegare l’esposizione dei medesimi fatti, in due momenti diversi dell’audi- zione, in modo incoerente. Inoltre, egli si è contraddetto anche riguardo alla data in cui sarebbe stato rilasciato dall’incarcerazione la prima volta nel (…) del (…). In prima battuta egli ha invero asserito trattarsi del (…) (cfr. n. 41/17, D39, pag. 6), ed in seconda battuta invece essere il (…) (cfr. ibi- dem, D94, pag. 14), e soltanto allorché è stato reso attento circa l’incon- gruenza dei suoi asserti, egli ha tentato di ritornare alle sue prime dichia- razioni (cfr. ibidem, D95, pag. 14). Tutto ciò, aggiungendo però il dettaglio che il suo rilascio nel mese di (…) del (…), sarebbe dovuto al capo villaggio il quale avrebbe incontrato il (…) (cfr. ibidem, D93, pag. 14), affermazione che in precedenza non aveva affatto esternato per tale arresto, ma ripor- tandola unicamente per il secondo arresto avvenuto nell’(…) del (…) (cfr. ibidem, D39, pag. 8). Ulteriori discrepanze nei suoi asserti le si ritrovano nelle conseguenze che egli avrebbe riscontrato dopo il suo rilascio del (…), affermando innanzitutto che avrebbe ricevuto delle telefonate e dei mes- saggi di minaccia, nonché che sarebbe stato trattato quale traditore da al- cuni militari della zona (cfr. ibidem, D40, pag. 8); salvo poi in seguito affer- mare invece come già dopo il suo primo arresto avrebbe ricevuto addirittura degli insulti, offese e aggressioni verbali da parte della popolazione (cfr. ibidem, D96, pag. 14), nonché che sia nelle strade che nei mercati egli non sarebbe più stata una persona gradita e che i suoi (…) di G._______ sa- rebbero stati chiusi (cfr. ibidem, D96 segg., pag. 14), allegazioni che però non aveva mai fornito in precedenza spontaneamente. Peraltro, egli quando avrebbe soggiornato per qualche giorno a I._______, ha in primo luogo affermato di aver ricevuto soltanto un unico messaggio di minaccia (cfr. ibidem, D40, pag. 8), mentre che poco più avanti, questionato nuova- mente, ha asserito di aver ricevuto non soltanto dei messaggi di minaccia (quindi svariati e non soltanto uno), ma pure delle telefonate di minaccia, e ciò a far tempo dal (…) (cfr. ibidem, D78 segg., pag. 13), allorché in prece- denza i medesimi li aveva situati in un periodo precedente a quest’ultima data (cfr. ibidem, D40, pag. 8). Altresì se in un primo momento egli ha di- chiarato che alla frontiera avrebbe presentato il suo passaporto originale (cfr. ibidem, D9 segg., pag. 3), quindi lasciando più che intendere che si trattasse anche della frontiera con il suo Paese d’origine; in seguito si è invece contraddetto, affermando come per giungere in J._______ dal Ca- merun avrebbe invece evitato i posti di blocco e sarebbe invece stato con- trollato unicamente negli altri Paesi che avrebbe attraversato (cfr. ibidem, D35 seg., pag. 6). Il Tribunale non può seguire l’insorgente neppure</w:t>
      </w:r>
    </w:p>
    <w:p>
      <w:r>
        <w:t>D-7466/2024 Pagina 8 laddove nel suo ricorso (cfr. p.to 3, pag. 3) indica essersi trattato di un rifuso portante unicamente su una differenza di due giorni, per quanto attinente all’incongruenza della data da lui dichiarata in ordine all’avviso di ricerca emesso a suo carico (cfr. n. 41/17, D40, pag. 9) rispetto al mezzo di prova (di seguito: MdP) prodotto a supporto di tali suoi asserti (cfr. MdP negli atti della SEM n. 12/1). Invero, tale elemento non soltanto riguarda una circo- stanza chiave del suo racconto, che difficilmente è spiegabile con uno scarto, seppure minimo, di date; ma si rimarca come il tentativo di spiega- zione del ricorrente è giunto soltanto con il ricorso e non invece allorché tale mezzo di prova è stato prodotto in causa, malgrado ne avesse avuto la possibilità (cfr. n. 42/1). Pertanto il Tribunale ritiene, alla stessa stregua dell’autorità inferiore, che la predetta incongruenza sia non soltanto ulte- riormente indicativa dell’inverosimiglianza degli asserti dell’insorgente, bensì che tolga ogni credibilità d’autenticità al MdP n. 12/1 prodotto a sup- porto delle sue allegazioni di ricerca nei suoi confronti da parte delle auto- rità camerunensi. A ciò si aggiunge, come denotato rettamente anche nella decisione impugnata (cfr. p.to II, pag. 5 seg.), che il documento presentato dal ricorrente, sia stato prodotto solamente quale fotocopia, e quindi non sia possibile procedere ad un esame della sua originalità in base allo stesso, essendo per di più il suo contenuto facilmente falsificabile e modi- ficabile. Al predetto documento, non può pertanto essere accordato alcun valore probatorio.</w:t>
      </w:r>
    </w:p>
    <w:p>
      <w:r>
        <w:rPr>
          <w:b/>
        </w:rPr>
        <w:t>E. 5.4.2</w:t>
      </w:r>
    </w:p>
    <w:p>
      <w:r>
        <w:t>Si rimarca altresì come il ricorrente sia rimasto del tutto vago e su- perficiale su alcuni punti importanti della sua narrazione, nonostante i di- versi quesiti d’approfondimento postigli della funzionaria competente della SEM. In particolare, riguardo ai vari messaggi di minaccia che avrebbe ri- cevuto, egli si è accontentato di riportare un unico contenuto (cfr. n. 41/17, D80, pag. 13), fra l’altro senza esplicitare nulla in merito invece ai contenuti delle varie telefonate di minaccia che avrebbe pure ricevuto (cfr. ibidem, D40, pag. 8; D78 segg., pag. 13), ciò che risulta perlomeno singolare, e che fa dubitare ancor più che l’insorgente abbia vissuto realmente i fatti così come da lui descritti.</w:t>
      </w:r>
    </w:p>
    <w:p>
      <w:r>
        <w:rPr>
          <w:b/>
        </w:rPr>
        <w:t>E. 5.4.3</w:t>
      </w:r>
    </w:p>
    <w:p>
      <w:r>
        <w:t>Da ultimo, i suoi asserti presentano anche diverse illogicità. In primo luogo, il comportamento delle autorità camerunensi che dopo che avreb- bero rilasciato una prima volta il ricorrente, lo avrebbero fermato successi- vamente ad un posto di blocco per arrestarlo nuovamente il (…), ha per lo meno dell’incredibile, in quanto non si spiega come se veramente le auto- rità di polizia lo avessero voluto arrestare, lo avrebbero atteso tranquilla- mente in tale data ad un posto di blocco (cfr. ibidem, D39, pag. 7), senza invece presentarsi piuttosto – come tra l’altro avevano già fatto la prima</w:t>
      </w:r>
    </w:p>
    <w:p>
      <w:r>
        <w:t>D-7466/2024 Pagina 9 volta – al suo domicilio, dove egli si trovava nei giorni precedenti. Ancor più stupefacente è l’asserto del ricorrente allorché ha affermato che la causa della morte del (…), che sarebbe stato (…) a causa dell’aiuto che avrebbe prestato al ricorrente, gli sarebbe stata riportata dalla stessa persona poi deceduta per messaggio (cfr. ibidem, D73 segg., pag. 12), in quanto gli avrebbe scritto: “[…] (…) […]” (cfr. ibidem, D76, pag. 12), circostanza già del tutto poco credibile, nonché che non è comunque in grado di spiegare minimamente come tale decesso egli lo colleghi al fatto che il (…) lo avrebbe aiutato. Anche il Tribunale poi ritiene come il comportamento te- nuto dal ricorrente prima dell’espatrio, ovvero che malgrado si sarebbe trat- tenuto a I._______ e poi a F._______, ma da un amico senza fare ritorno al suo domicilio, abbia comunque svolto personalmente – recandosi pure direttamente nell’ufficio statale preposto – le pratiche di rilascio del suo passaporto e della sua carta d’identità (cfr. n. 41/17, D81 segg., pag. 13), se realmente egli avesse avuto timore di essere ricercato e di subire delle (ulteriori) persecuzioni. Le argomentazioni fornite sul punto in questione dal ricorrente nel gravame (cfr. p.to 3, pag. 4 del ricorso), ovvero di aver otte- nuto i documenti prima dell’emissione dell’avviso di ricerca a suo carico, non sono atte in alcun modo a spiegare la poca attendibilità del suo com- portamento, rispetto a quello che avrebbe invece tenuto una persona che aveva già subito delle persecuzioni da parte delle autorità statali e che ne temeva di subire anche in futuro, nonché che si apprestava a lasciare il prima possibile il suo Paese d’origine.</w:t>
      </w:r>
    </w:p>
    <w:p>
      <w:r>
        <w:rPr>
          <w:b/>
        </w:rPr>
        <w:t>E. 5.4.4</w:t>
      </w:r>
    </w:p>
    <w:p>
      <w:r>
        <w:t>Alla luce di quanto precede, il ricorrente non è quindi riuscito nell’in- tento di provare, o per lo meno di rendere verosimile in maniera preponde- rante, ai sensi dell’art. 7 LAsi, i fatti che sarebbero successi nel suo Paese e che lo avrebbero condotto all’espatrio il (…).</w:t>
      </w:r>
    </w:p>
    <w:p>
      <w:r>
        <w:rPr>
          <w:b/>
        </w:rPr>
        <w:t>E. 5.4.5</w:t>
      </w:r>
    </w:p>
    <w:p>
      <w:r>
        <w:t>Ne discende quindi che, in relazione al riconoscimento della qualità di rifugiato ed alla concessione dell’asilo, v’è da confermare il giudizio ne- gativo esposto nella decisione impugnata.</w:t>
      </w:r>
    </w:p>
    <w:p>
      <w:r>
        <w:rPr>
          <w:b/>
        </w:rPr>
        <w:t>E. 6</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D-7466/2024 Pagina 10</w:t>
      </w:r>
    </w:p>
    <w:p>
      <w:r>
        <w:rPr>
          <w:b/>
        </w:rPr>
        <w:t>E. 7.1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7.2.1</w:t>
      </w:r>
    </w:p>
    <w:p>
      <w:r>
        <w:t>Nel provvedimento impugnato, a ragione l’autorità sindacata ha os- servato che nella fattispecie il principio del divieto di respingimento (art. 5 cpv. 1 LAsi) non si applica, in quanto esso protegge soltanto persone alle quali è stata riconosciuta la qualità di rifugiato. Per di più, per i motivi già sopra evinti (cfr. consid. 5), al contrario di quanto sostenuto dall’insorgente nel gravame senza apportare alcun ulteriore indizio concreto e circostan- ziato, non sono ravvisabili agli atti di causa, degli elementi concreti che possano far ritenere, con una probabilità preponderante, che egli possa essere esposto ad una pena o ad un trattamento vietati dall’art. 3 CEDU o dall’art. 3 della Convenzione contro la tortura ed altre pene o trattamenti crudeli, inumani o degradanti del 10 dicembre 1984 (RS 0.105) nel caso di un suo rimpatrio (cfr. sentenza della Corte europea dei diritti dell’uomo [di seguito: CorteEDU], Grande Camera, Saadi contro Italia del 28 feb- braio 2008, 37201/66, §§125 e 129 con rel. rif.). Altresì, le problematiche di natura medica risultano pertinenti in termini di ammissibilità solo in casi di estrema gravità (cfr. DTAF 2009/2 consid. 9.1.2-9.1.6; sentenza della CorteEDU [Grande Camera] Paposhvili contro Belgio del 13 dicem- bre 2016, 41738/10, §181 segg.), a cui non è apparentabile la presente fattispecie, visti gli atti di causa (cfr. anche infra consid. 7.3.4).</w:t>
      </w:r>
    </w:p>
    <w:p>
      <w:r>
        <w:rPr>
          <w:b/>
        </w:rPr>
        <w:t>E. 7.2.2</w:t>
      </w:r>
    </w:p>
    <w:p>
      <w:r>
        <w:t>Ne consegue pertanto che l’allontanamento del ricorrente verso il Camerun risulta essere ammissibile nei confronti delle norme nazionali (art. 83 cpv 3 LStrI in relazione all’art. 44 LAsi) ed internazionali applicabili.</w:t>
      </w:r>
    </w:p>
    <w:p>
      <w:r>
        <w:rPr>
          <w:b/>
        </w:rPr>
        <w:t>E. 7.3.1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t>D-7466/2024 Pagina 11</w:t>
      </w:r>
    </w:p>
    <w:p>
      <w:r>
        <w:rPr>
          <w:b/>
        </w:rPr>
        <w:t>E. 7.3.2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 Le argomentazioni generiche sollevate dal ricor- rente in merito alla situazione vigente in particolare nelle regioni anglofone del Nord-Ovest e del Sud-Ovest del Paese, non sono in grado di capovol- gere la conclusione del Tribunale precitata.</w:t>
      </w:r>
    </w:p>
    <w:p>
      <w:r>
        <w:rPr>
          <w:b/>
        </w:rPr>
        <w:t>E. 7.3.3</w:t>
      </w:r>
    </w:p>
    <w:p>
      <w:r>
        <w:t>Nel caso concreto, il ricorrente ha vissuto facendo la spola settima- nalmente tra il villaggio di D._______ (sito nel comune di G._______ al […] del Camerun) e la (…) F._______, sita invece nella regione (…) del Came- run (cfr. n. 41/17, D13 segg., pag. 3), regioni del predetto Paese che non sono direttamente toccate dal conflitto vigente invece nelle regioni anglo- fone site nel Sud-Ovest e nel Nord-Ovest dello Stato africano. Inoltre il ri- corrente, ancora giovane, dispone di una buona formazione scolastica e di una solida esperienza professionale quale (…) e (…), avendo in particolare (…) nel (…), nonché avendo pure (…) (cfr. ibidem, D17 segg., pag. 4), non- ché nell’(…), disponendo di diverse (…) (cfr. ibidem, D27, pag. 5). Inoltre egli ha allegato di aver avuto nel suo villaggio natio dei (…) di sua proprietà (cfr. ibidem, D97, pag. 14). Per il resto, egli può vantare anche dell’espe- rienza politica, essendo stato per diversi anni (…). Dalle sue allegazioni, si evince poi che egli disporrebbe di (…) abitazioni in proprietà, (…) nel suo villaggio natio e (…) a F._______. In quest’ultima risiederebbero ancora la compagna e (…) dei suoi figli, mentre altri (…) suoi figli sarebbero presso le rispettive madri (cfr. ibidem, D31 segg., pag. 5). Nel villaggio di D._______, vivrebbe invece il suo fratello minore (cfr. ibidem, D29, pag. 5). Da quanto precede, si evince quindi come il ricorrente disponga in Came- run sia di una solida rete sociale, sia delle risorse finanziarie e materiali nonché delle esperienze professionali che gli permetteranno d’un canto di sopperire ai suoi bisogni primari nonché, d’altro canto, di reintegrarsi in breve tempo nel tessuto sociale ed economico camerunense.</w:t>
      </w:r>
    </w:p>
    <w:p>
      <w:r>
        <w:rPr>
          <w:b/>
        </w:rPr>
        <w:t>E. 7.3.4</w:t>
      </w:r>
    </w:p>
    <w:p>
      <w:r>
        <w:t>Pure lo stato di salute del ricorrente non risulta essere ostativo all’esecuzione del suo allontanamento. Difatti, nel corso dell’audizione sui motivi d’asilo, il ricorrente ha asserito di avere un problema d’udito all’orec- chio (…), per il quale non assumerebbe più alcuna terapia, e dei problemi agli occhi, che avrebbe risolto con la prescrizione di occhiali (cfr. n. 41/17,</w:t>
      </w:r>
    </w:p>
    <w:p>
      <w:r>
        <w:t>D-7466/2024 Pagina 12 D5 segg., pag. 2 seg.). Dalla documentazione medica all’inserto, si evince come inizialmente al ricorrente siano state diagnosticate un’insonnia, una lesione cutanea ai (…) con prurito ed una cervicalgia, prescrivendogli an- che una cura farmacologica per le medesime problematiche (cfr. n. 11/3). Successivamente egli ha effettuato diversi consulti medici relativi alla dia- gnosi di perdita d’udito all’orecchio (…) del 78% e all’orecchio (…) del 5% (cfr. n. 22/2 e 24/2) per la quale ha assunto i medicamenti Spirikort e Arle- vert (cfr. n. 22/2, 23/2 e 24/2) ed è stata eseguita un’iniezione intratimpa- nica con Kenacort (cfr. n. 24/2), nonché una risonanza magnetica che ha permesso di constatare che non vi sia nessuna evidenza di ipoacusia retro- cocleare e che vi è una normale visualizzazione del cervello (cfr. n. 25/2). Nel corso della visita medica del 20 gennaio 2024, sempre per la perdita d’udito, il medico ha ipotizzato piuttosto un disturbo della ventilazione tu- barica dell’orecchio medio che una perdita d’udito, prescrivendogli delle gocce nasali Spirig, ed invitando il ricorrente a ripresentarsi presso lo spe- cialista in otorinolaringoiatria in caso di assenza di miglioramenti in due giorni (cfr. n. 26/1). In seguito il ricorrente ha voluto interrompere l’assun- zione di ogni medicamento prescrittogli (cfr. n. 31/2). Nell’ultima visita me- dica effettuata, è stata posta la diagnosi di un’immodificata perdita dell’udito a (…) con tinnito ed è stato consigliato al ricorrente di dotarsi di un apparecchio acustico (…) con terapia integrata per il tinnito (cfr. n. 33/2). Sulla scorta di quanto precede, pur non volendo sminuire le problematiche d’udito di cui soffre ancora il ricorrente, tuttavia le stesse non risultano all’evidenza essere di tale gravità da risultare ostative all’esecuzione del suo allontanamento (cfr. sentenza della CorteEDU [Grande Camera] N. contro Regno Unito del 27 maggio 2008, 26565/05; Paposhvili contro Bel- gio del 13 dicembre 2016, 41738/10, §181 segg.; Savran contro Dani- marca del 7 dicembre 2021, 57467/15, §§121 segg.; DTAF 2011/9 con- sid. 7.1). Del resto, se egli avesse bisogno anche in futuro di cure mediche per le suddette problematiche, le stesse potranno senz’altro essere repe- rite a F._______, presso le strutture sanitarie presenti in loco.</w:t>
      </w:r>
    </w:p>
    <w:p>
      <w:r>
        <w:rPr>
          <w:b/>
        </w:rPr>
        <w:t>E. 7.3.5</w:t>
      </w:r>
    </w:p>
    <w:p>
      <w:r>
        <w:t>Riassumendo, non v’è da ritenere che l’insorgente, nel caso di un suo ritorno nel Paese d’origine, si ritroverà in una situazione di minaccia esi- stenziale. Pertanto, l’esecuzione dell’allontanamento è pure ragionevol- mente esigibile (art. 83 cpv. 4 LStrI in relazione all’art. 44 LAsi).</w:t>
      </w:r>
    </w:p>
    <w:p>
      <w:r>
        <w:rPr>
          <w:b/>
        </w:rPr>
        <w:t>E. 7.4</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t>D-7466/2024 Pagina 13</w:t>
      </w:r>
    </w:p>
    <w:p>
      <w:r>
        <w:rPr>
          <w:b/>
        </w:rPr>
        <w:t>E. 7.5</w:t>
      </w:r>
    </w:p>
    <w:p>
      <w:r>
        <w:t>Ne discende quindi che, anche in materia d’esecuzione dell’allontana- mento, la decisione della SEM va confermata, e la concessione di un’am- missione provvisoria, così come proposto nelle sue conclusioni a titolo eventuale dal ricorrente, non entra quindi in considerazione (art. 83 cpv. 1 LStrI a contrario).</w:t>
      </w:r>
    </w:p>
    <w:p>
      <w:r>
        <w:rPr>
          <w:b/>
        </w:rPr>
        <w:t>E. 8</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10 marzo 2025.</w:t>
      </w:r>
    </w:p>
    <w:p>
      <w:r>
        <w:rPr>
          <w:b/>
        </w:rPr>
        <w:t>E. 10</w:t>
      </w:r>
    </w:p>
    <w:p>
      <w:r>
        <w:t>marzo 2025.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