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D-7462/2010 vom 12. Mai 2011</w:t>
      </w:r>
    </w:p>
    <w:p>
      <w:r>
        <w:t>Bundesverwaltungsgericht, 2011-05-12, DE</w:t>
      </w:r>
    </w:p>
    <w:p>
      <w:r>
        <w:rPr>
          <w:b/>
        </w:rPr>
        <w:t xml:space="preserve">Quelle: </w:t>
      </w:r>
      <w:r>
        <w:t>https://mcp.opencaselaw.ch/entscheid/bvger_D-7462_2010</w:t>
      </w:r>
    </w:p>
    <w:p>
      <w:r>
        <w:t>FR: TAF D-7462/2010 du 12 mai 2011</w:t>
      </w:r>
    </w:p>
    <w:p>
      <w:r>
        <w:t>IT: TAF D-7462/2010 del 12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ausser bei Vorliegen eines Auslieferungsgesuches des Staates, vor welchem die beschwerdeführende Person Schutz sucht (Art. 105 des Asylgesetzes vom 26. Juni 1998 [AsylG, SR 142.31]; Art. 83 Bst. c Ziff. 1 und Bst. d Ziff. 1 des Bundesgerichts­gesetzes vom 17. Juni 2005 [BGG, SR 173.110]).</w:t>
      </w:r>
    </w:p>
    <w:p>
      <w:r>
        <w:rPr>
          <w:b/>
        </w:rPr>
        <w:t>E. 1.2</w:t>
      </w:r>
    </w:p>
    <w:p>
      <w:r>
        <w:t>Die Beschwerde ist nicht in einer Amtssprache des Bundes abgefasst. Das Bundesverwaltungsgericht verzichtete indessen aus prozessökonomischen Gründen auf eine Beschwerdeverbesserung und ordnete stattdessen am 9. Februar 2011 eine amtliche Übersetzung der spanischen Beschwerde auf Deutsch an, welche ihm am 21. Februar 2011 zuging.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w:t>
      </w:r>
    </w:p>
    <w:p>
      <w:r>
        <w:t>Vorliegend wurden die Beschwerdeführenden von der schweizeri­schen Vertretung in Bogotá nicht zu ihren Asylgesuchen befragt. Sie haben ihre Vorbringen jedoch bereits in ihren Asylgesuchen vom 13. Mai 2009 und der diesen folgenden Eingabe vom 8. Juli 2009 schriftlich dargelegt und do­kumentiert. Ausserdem wurde ihnen danach mit Zwischenverfügung des BFM vom 17. Mai 2010 das rechtliche Gehör im Hinblick auf die in Er­wägung gezoge­ne Abweisung der Asylgesuche gewährt. Sie haben von ihrem dies­bezüglichen Recht auf Stellungnahme in der Folge mit ih­rer vom 12. Juli 2010 datierenden Eingabe denn auch Gebrauch ge­macht, und der entscheidwesentliche Sachverhalt erscheint - wie das BFM sowohl in seiner Zwischenverfügung vom 17. Mai 2010 als auch in der angefochte­nen Verfügung zu Recht ausführt - angesichts der schriftli­chen Darlegung und Dokumentierung der Asylgründe soweit erstellt, dass die entscheidrele­vanten Elemente vorliegen. Bei dieser Sachlage bestand für die schweizerische Vertretung in Bogotá keine Veranlassung, die Be­schwerdeführenden vorgän­gig eines Entscheides zusätzlich persönlich an­zuhören. Darüber hinaus hat das BFM sowohl in seiner Zwischenverfü­gung vom 17. Mai 2010 als auch in seiner Verfügung vom 18. August 2010 hinlänglich zum Aus­druck gebracht, welche Gründe es dazu verhal­ten haben, die Asylgesu­che der Beschwerdeführenden abzuweisen bezie­hungsweise ihnen die Ein­reise in die Schweiz zu bewilligen (vgl. Sach­verhalt Bst. C. und F).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Im Weiteren hat das BFM zu Recht erwogen, dass es den Beschwerdeführen­den zuzumuten sei, in ei­nem anderen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 insbesondere in einen der Nach­barstaaten Kolumbiens - zu bege­ben (vgl. EMARK 2004 Nr. 20 und 1997 Nr. 15). An dieser Einschät­zung vermag auch der Umstand nichts zu ändern, dass in diesen Län­dern teilweise Arbeitslosigkeit herrscht, handelt es sich hierbei doch um ein Phänomen, von welchem nicht nur neu zuziehende Personen, son­dern auch die dort ansässige Bevölkerung betroffen ist. Im Weiteren kann zur Vermeidung weitergehender Wiederholungen vollumfänglich auf die Er­wägungen in der angefochtenen Verfügung (sub II/ Ziff. 2 und 3) verwie­sen werden, denen nichts hinzuzufügen ist.</w:t>
      </w:r>
    </w:p>
    <w:p>
      <w:r>
        <w:rPr>
          <w:b/>
        </w:rPr>
        <w:t>E. 6.2</w:t>
      </w:r>
    </w:p>
    <w:p>
      <w:r>
        <w:t>Bei dieser Sachlage kann im Ergebnis die Frage, ob die Beschwer­defüh­renden in Kolumbien tatsächlich einer Verfolgung im Sinne von Art. 3 AsylG ausgesetzt wären, offengelassen werden.</w:t>
      </w:r>
    </w:p>
    <w:p>
      <w:r>
        <w:rPr>
          <w:b/>
        </w:rPr>
        <w:t>E. 6.3</w:t>
      </w:r>
    </w:p>
    <w:p>
      <w:r>
        <w:t>Zusammenfassend ist damit festzuhalten, dass die Beschwerdeführen­den aufgrund der Akten über keine Beziehungsnähe zur Schweiz verfügen, hingegen die Möglichkeit der anderweitigen Schutz­suche haben. Das BFM hat den Beschwerdeführenden daher zu Recht die Einreise in die Schweiz verweigert und die Asylgesuche abge­lehnt.</w:t>
      </w:r>
    </w:p>
    <w:p>
      <w:r>
        <w:rPr>
          <w:b/>
        </w:rPr>
        <w:t>E. 7</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8</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