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D-7458/2014 vom 16. Januar 2015</w:t>
      </w:r>
    </w:p>
    <w:p>
      <w:r>
        <w:t>Bundesverwaltungsgericht, 2015-01-16, DE</w:t>
      </w:r>
    </w:p>
    <w:p>
      <w:r>
        <w:rPr>
          <w:b/>
        </w:rPr>
        <w:t xml:space="preserve">Quelle: </w:t>
      </w:r>
      <w:r>
        <w:t>https://mcp.opencaselaw.ch/entscheid/bvger_D-7458_2014</w:t>
      </w:r>
    </w:p>
    <w:p>
      <w:r>
        <w:t>FR: TAF D-7458/2014 du 16 janvier 2015</w:t>
      </w:r>
    </w:p>
    <w:p>
      <w:r>
        <w:t>IT: TAF D-7458/2014 del 16 gennaio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Auf die Durchführung eines Schriftenwechsels wurde im vorliegenden Verfahren im Sinne von Art. 111a Abs. 1 AsylG verzichtet.</w:t>
      </w:r>
    </w:p>
    <w:p>
      <w:r>
        <w:rPr>
          <w:b/>
        </w:rPr>
        <w:t>E. 5</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Nachdem das BFM den Anspruch des Beschwerdeführers auf Behandlung des Wiedererwägungsgesuchs nicht in Abrede gestellt hat und darauf eingetreten ist, hat das Bundesverwaltungsgericht zu prüfen, ob die Vorinstanz in zutreffender Weise das Bestehen des geltend gemachten Wiedererwägungsgrundes verneint und an ihrer ursprünglichen Verfügung vom 24. April 2014 festgehalten hat, wobei praxisgemäss der sich präsentierende Sachverhalt im Urteilszeitpunkt massgebend ist.</w:t>
      </w:r>
    </w:p>
    <w:p>
      <w:r>
        <w:rPr>
          <w:b/>
        </w:rPr>
        <w:t>E. 7</w:t>
      </w:r>
    </w:p>
    <w:p>
      <w:r>
        <w:t>Vorliegend gelangt das Gericht zum Schluss, dass offensichtlich keine erheblich veränderte Sachlage im wiedererwägungsrechtlichen Sinne vorliegt.</w:t>
      </w:r>
    </w:p>
    <w:p>
      <w:r>
        <w:rPr>
          <w:b/>
        </w:rPr>
        <w:t>E. 7.1</w:t>
      </w:r>
    </w:p>
    <w:p>
      <w:r>
        <w:t>In der Beschwerde vom 22. Dezember 2014 wiederholt der Beschwerdeführer seine Ausführungen im Wiedererwägungsgesuch sinngemäss und führt weiter aus, sein Arzt habe ihm bestätigt, dass er alle zehn Tage eine therapeutische Behandlung benötige. Der ferienabwesende Arzt habe ihm in Aussicht gestellt, nach seiner Rückkehr einen ausführlichen Bericht über seinen Krankheitszustand zu schreiben. Der nächste Arzttermin sei am (...) Dezember 2014 um (...) Uhr. Es sei für den Beschwerdeführer unmöglich, anderswo eine entsprechende Therapie zu erhalten (...). Das am 29. Dezember 2014 nachgereichte Arztzeugnis ist inhaltlich identisch mit demjenigen von (...) Oktober 2014. Zusätzlich wird darin ausgeführt, dass der Beschwerdeführer über Schlafprobleme, innere Unruhe und Angstperspektive klage, und ein Medikament (...) erwähnt. Schliesslich wird bestätigt, dass die letzte Konsultation am (...) Dezember 2014 stattgefunden habe, nachdem der Beschwerdeführer vom (...) Mai 2014 bis Dezember 2014 insgesamt (...) Mal in ambulatorischer psychiatrischer Behandlung des Arztes gewesen sei (...).</w:t>
      </w:r>
    </w:p>
    <w:p>
      <w:r>
        <w:rPr>
          <w:b/>
        </w:rPr>
        <w:t>E. 7.2</w:t>
      </w:r>
    </w:p>
    <w:p>
      <w:r>
        <w:t>Die Erwägungen in der angefochtenen Verfügung erweisen sich nach einer Überprüfung der Akten als zutreffend (vgl. Sachverhalt Bst. D), während die Ausführungen in der Beschwerde - diese beschränken sich im Wesentlichen auf eine Wiederholung der bisherigen Wiedererwägungsvorbringen - und der Inhalt des Arztzeugnisses vom 29. Dezember 2014 nicht geeignet sind, eine nachträglich eingetretene, massgebliche Veränderung der Sachlage darzulegen. Was eine allfällige Medikation anbelangt, könnte der Beschwerdeführer beim SEM medizinische Rückkehrhilfe beantragen, sodass die medikamentöse Versorgung für eine Anfangsphase gesichert wäre. Im Übrigen könnte eine individuelle medizinische Rückkehrhilfe nicht nur in Form der Mitgabe von Medikamenten, sondern beispielsweise auch in der Organisation und Übernahme von Kosten für allenfalls notwendige Therapien bestehen (Art. 93 Abs. 1 Bst. d AsylG; Art. 75 der Asylverordnung 2 vom 11. August 1999 über Finanzierungsfragen [AsylV 2, SR 142.312]).</w:t>
      </w:r>
    </w:p>
    <w:p>
      <w:r>
        <w:rPr>
          <w:b/>
        </w:rPr>
        <w:t>E. 8</w:t>
      </w:r>
    </w:p>
    <w:p>
      <w:r>
        <w:t>Zusammenfassend ergibt sich, dass die angefochtene Verfügung Bundesrecht nicht verletzt und den rechtserheblichen Sachverhalt richtig und vollständig feststellt (Art. 106 Abs. 1 AsylG). Die Beschwerde ist deshalb abzuweisen.</w:t>
      </w:r>
    </w:p>
    <w:p>
      <w:r>
        <w:rPr>
          <w:b/>
        </w:rPr>
        <w:t>E. 9</w:t>
      </w:r>
    </w:p>
    <w:p>
      <w:r>
        <w:t>Das Beschwerdeverfahren ist mit vorliegendem Urteil abgeschlossen, weshalb sich die Anträge auf Gewährung der aufschiebenden Wirkung, auf Anordnung von vorsorglichen Massnahmen sowie das Gesuch um Verzicht auf die Erhebung eines Kostenvorschusses als gegenstandslos erweisen.</w:t>
      </w:r>
    </w:p>
    <w:p>
      <w:r>
        <w:rPr>
          <w:b/>
        </w:rPr>
        <w:t>E. 10.1</w:t>
      </w:r>
    </w:p>
    <w:p>
      <w:r>
        <w:t>Das Gesuch um Gewährung der unentgeltlichen Rechtspflege (Erlass der Verfahrenskosten) ist abzuweisen, da die Begehren des prozessual bedürftigen Beschwerdeführers - wie sich aus den vorstehenden Erwägungen ergibt - als aussichtslos zu bezeichnen waren, weshalb die kumulativen Voraussetzungen von Art. 65 Abs. 1 VwVG nicht erfüllt sind.</w:t>
      </w:r>
    </w:p>
    <w:p>
      <w:r>
        <w:rPr>
          <w:b/>
        </w:rPr>
        <w:t>E. 10.2</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