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D-7456/2010 vom 21. Dezember 2010</w:t>
      </w:r>
    </w:p>
    <w:p>
      <w:r>
        <w:t>Bundesverwaltungsgericht, 2010-12-21, DE</w:t>
      </w:r>
    </w:p>
    <w:p>
      <w:r>
        <w:rPr>
          <w:b/>
        </w:rPr>
        <w:t xml:space="preserve">Quelle: </w:t>
      </w:r>
      <w:r>
        <w:t>https://mcp.opencaselaw.ch/entscheid/bvger_D-7456_2010</w:t>
      </w:r>
    </w:p>
    <w:p>
      <w:r>
        <w:t>FR: TAF D-7456/2010 du 21 décembre 2010</w:t>
      </w:r>
    </w:p>
    <w:p>
      <w:r>
        <w:t>IT: TAF D-7456/2010 del 21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die Flüchtlingseigenschaft gemäss Art. 3 AsylG und denjenigen an die Glaubhaftigkeit gemäss Art. 7 AsylG nicht standhielten. Zu Art. 7 AsylG führte die Vorinstanz im Wesentlichen aus, die Vorbringen des Beschwerdeführers seien unglaubhaft. So habe er bei der Kurzbefragung angegeben, er sei Anhänger der DPK-I gewesen und habe sich für diese Partei engagiert, in dem er mit seinen Freunden anlässlich zahlreicher Ver­sammlungen über die allgemeine Situation der Kurden gesprochen habe. Anlässlich der Anhörung habe er jedoch ausgesagt, diese Dis­kussionen hätten am Telefon zwischen ihm und seinen beiden Freunden im Irak stattgefunden. Er sei Sympathisant der DPK-I ge­wesen, habe keine eigentlichen politischen Tätigkeiten gehabt und lediglich versucht, in seinem Laden junge Leute anzusprechen. Er habe auch fünf- bis sechsmal Flugblätter der Partei verteilt. Ferner habe er bei der Kurzbefragung geltend gemacht, der Leiter des Geheimdienstes habe ihn am 3. August 2003 zum ersten Mal auf­gefordert, für ihn tätig zu sein, während er bei der Anhörung in diesem Zusammenhang von Anfang Juli 2003 gesprochen habe. Seine Vor­bringen würden aber auch der allgemeinen Lebenserfahrung wider­sprechen. So sei zumindest erstaunlich, dass der Leiter des Geheim­dienstes während mehrerer Monate derart hartnäckig versucht habe, die Mitarbeit des Beschwerdeführers zu erreichen. Er habe keiner Partei angehört, sei lediglich diskreter Sympathisant der DPK-I ge­wesen, habe sich auch nicht politisch exponiert und sei angeblich nur telefonisch mit zwei im Irak befindlichen Personen der DPK-I in Ver­bindung gestanden. Somit habe er nicht das Profil eines idealen Spions gehabt. Insgesamt würden die Vorbringen des Beschwerde­führers nicht den Eindruck einer tatsächlich erlebten Verfolgung durch den iranischen Geheimdienst erwecken, sondern den Verdacht er­härten, der Beschwerdeführer wolle die schweizerischen Asylbehör-den über den wahren Grund seiner Ausreise täuschen. Daran ver­möchten auch die ins Recht gelegten Beweismittel nichts zu ändern. Zu Art. 3 AsylG hielt das BFM hauptsächlich fest, die geltend ge­machten Schwierigkeiten des Beschwerdeführers bei der Suche nach einer staatlichen Arbeitsstelle seien keine ernsthaften Nachteile im Sinne des Asylgesetzes, die einen weiteren Verbleib des Beschwerde­führers im Heimatland verunmöglicht oder unzumutbar erschwert hätten. Sie würden zudem Nachteile darstellen, die weite Teile der kurdischen Bevölkerung im Iran treffen könnten. Die diesbezüglichen Vorbringen des Beschwerdeführers seien somit nicht als ernsthaft zu qualifizieren und damit asylrechtlich nicht relevant. Für die weitere Begründung der Verfügung wird auf die vorinstanz­lichen Erwägungen verwiesen.</w:t>
      </w:r>
    </w:p>
    <w:p>
      <w:r>
        <w:rPr>
          <w:b/>
        </w:rPr>
        <w:t>E. 4.2</w:t>
      </w:r>
    </w:p>
    <w:p>
      <w:r>
        <w:t>In der Beschwerde wird im Wesentlichen geltend gemacht, die von der Vorinstanz vorgebrachten angeblichen Widersprüche würden sich bei näherer Betrachtung ohne Weiteres auflösen. Die Einschätzungen der Vorinstanz stützten sich durchwegs auf unhaltbare Argumente oder Behauptungen. Insgesamt sei festzustellen, dass der Beschwerdeführer das Geschilderte tatsächlich erlebt habe. Indem er den Iran im Februar 2004 verlassen habe, habe er sich einer klaren Anordnung des Leiters des Geheimdienstes in F._______ widersetzt, weshalb er als Verräter verfolgt würde. Zudem sei zu be­achten, dass der Beschwerdeführer durch seine Weigerung, die DPK-I auszuspionieren, indirekt seine Loyalität zu dieser Partei ausgedrückt habe. Zweifelsohne hätte der Beschwerdeführer bei einer Rückkehr in den Iran deswegen mit ernsthaften asylrechtlich relevanten Nachteilen zu rechnen. Zudem sei die Menschenrechtssituation im Iran zurzeit als sehr schlecht einzuschätzen. Diesbezüglich sei festzustellen, dass Kurden im Iran, welche für die DPK-I aktiv seien und beispielsweise im Besitz einer CD, eines Pamphlets oder sonstiger Unterlagen der Partei seien, mit Verfolgung rechnen müssten. Bei einer Rückkehr hätte der Beschwerdeführer als der DPK-I zumindest nahestehender Kurde, welcher sich einer klaren Anordnung des Geheimdienstes widersetzt habe, mit Verfolgung zu rechnen. Ein zusätzliches Risiko bestehe schliesslich für iranische Staatsbürger, welche bei der Rückkehr in ihr Heimatland nicht nachweisen könnten, dass sie legal ausgereist seien. Da der Beschwerdeführer den Iran seinerzeit illegal verlassen habe, wäre auch in seinem Fall bei einer Rückkehr die Gefahr gegeben, dass die iranischen Behörden spätestens bei seiner Wiedereinreise Recherchen über seine Vergangenheit - insbesondere die Weigerung der Kollaboration - anstellen und ihn deswegen verhaften würden, verbunden mit der dabei drohenden Folter. Auf die weitere Begründung der Beschwerde wird, soweit für den Ent­scheid wesentlich, in den Erwägungen eingegangen.</w:t>
      </w:r>
    </w:p>
    <w:p>
      <w:r>
        <w:rPr>
          <w:b/>
        </w:rPr>
        <w:t>E. 5.1</w:t>
      </w:r>
    </w:p>
    <w:p>
      <w:r>
        <w:t>Die Vorinstanz hat den Vorbringen des Beschwerdeführers, wonach er von I._______, dem Leiter des staatlichen Sicherheitsdienstes in F._______, unter Anwendung von Druck aufgefordert worden sei, für den iranischen Geheimdienst zu arbeiten, weshalb er sein Heimatland verlassen habe, da er befürchtet habe, bei einer Ver­weigerung drohe ihm eine lange Gefängnisstrafe, wenn nicht gar die Verurteilung zum Tode, die Glaubhaftigkeit abgesprochen. Nachfolgend ist daher zu prüfen, ob die Vorinstanz die diesbezüg­lichen Aussagen des Beschwerdeführers zu Recht als unglaubhaft im Sinne von Art. 7 AsylG beurteilt hat.</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Nr. 28 E. 3a S. 270).</w:t>
      </w:r>
    </w:p>
    <w:p>
      <w:r>
        <w:rPr>
          <w:b/>
        </w:rPr>
        <w:t>E. 5.3</w:t>
      </w:r>
    </w:p>
    <w:p>
      <w:r>
        <w:t>Vorab ist festzustellen, dass der Beschwerdeführer den Wortlaut der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er Befragung im Empfangszentrum zumindest ansatzweise erwähnt werden.</w:t>
      </w:r>
    </w:p>
    <w:p>
      <w:r>
        <w:rPr>
          <w:b/>
        </w:rPr>
        <w:t>E. 5.4</w:t>
      </w:r>
    </w:p>
    <w:p>
      <w:r>
        <w:t>Übereinstimmend mit der Vorinstanz ist - nach Prüfung der Akten durch das Gericht - festzustellen, dass die Aussagen des Be­schwerdeführers in wesentlichen Punkten wider­sprüchlich ausgefallen sind. So machte er bei der Kurzbefragung geltend, eine Mehrzahl von Personen habe von ihm verlangt, für die iranischen Behörden zu spionieren ("Sie haben von mir verlangt, dass ich für sie spioniere."...."Sie haben mehrmals auch auf der Strasse mit mir darüber gesprochen." [Akten BFM A 1/8, S. 4]). Demgegenüber sprach er während der ganzen Anhörung einzig von I._______, der von ihm verlangt habe, für den iranischen Geheimdienst zu arbeiten (Akten BFM A 7/28, S. 13 ff.). Zudem brachte der Beschwerdeführer bei der Kurzbefragung vor, mehrere Personen hätten ihn mit einem Auto auf den Posten gebracht ("Sie brachten mich zwei Mal mit einem Toyota dorthin" [Akten BFM A 1/8, S. 4]), wohingegen er anlässlich der An­hörung zu Protokoll gab, er sei zweimal von I._______ zu Hause abgeholt und mit einem Auto auf den Posten gebracht worden (Akten BFM A 7/28, S. 13 ff.). Überdies widersprach sich der Beschwerdeführer hinsichtlich des Zeitpunktes, an dem er erstmals zur Spitzeltätigkeit aufgefordert worden sei. So sagte er bei der Kurz­befragung aus, das sei am 3. August 2003 gewesen (Akten BFM A 1/8, S. 4), während er anlässlich der Anhörung vorbrachte, dies habe sich Anfang Juli 2003 ereignet (Akten BFM A 7/28, S. 13 f.). Unstimmig äusserte sich der Beschwerdeführer auch bezüglich seiner politischen Tätigkeiten für die DPK-I. So führte er bei der Kurzbefragung aus, er sei für diese Partei tätig gewesen, indem er sich oft mit seinen Freunden versammelt und über die allgemeine Situation der Kurden gesprochen habe (Akten BFM A 1/8, S. 5). Anlässlich der Anhörung machte er diesbezüglich jedoch geltend, er sei im Iran nicht politisch tätig gewesen, ausser dass er in seinem Laden kurdische Jugendliche angesprochen und ihnen über die Ziele der Partei berichtet habe. Zudem habe er manchmal zehn oder fünfzehn Flugblätter erhalten, die er an die Jugendlichen verteilt habe (Akten BFM A 7/28, S. 18). Im Weiteren hat sich der Beschwerdeführer anlässlich der Anhörung auch hinsichtlich des Zeitpunktes, an dem er erstmals beabsichtigt habe, den Iran zu verlassen, gegensätzlich geäussert. So sagte er dort zuerst aus, er habe den Entschluss, den Iran zu verlassen, ungefähr im Herbst 2003 gefasst (Akten BFM A 7/28, S. 8), während er kurze Zeit später vorbrachte, er habe bis zur letzten Begegnung mit I._______ im Januar 2004 nicht mit dem Gedanken gespielt, aus dem Iran auszureisen (Akten BFM A 7/28, S. 20). Die diesbezüglichen Ausführungen in der Rechtsmittelschrift (vgl. S. 6) sind nicht geeignet, diesen Widerspruch in den Aussagen des Beschwerdeführers aufzulösen. Unglaubhaft ist zudem das Vorbringen des Beschwerdeführers, wo-nach I._______ von ihm während mehrerer Monate verlangt habe, er solle sich als Spitzel für den iranischen Geheimdienst zur Verfügung stellen. Zum einen war der Beschwerdeführer gemäss eigenen Aussagen lediglich Sympathisant der DPK-I und nur in geringem Ausmass für diese Partei tätig (Akten BFM A 7/28, S. 18). Bei dieser Sachlage ist es aber un­wahrscheinlich, dass er dem iranischen Geheimdienst wertvolle beziehungsweise verwertbare Informationen bezüglich dieser kurdischen Partei hätte liefern können. Demzufolge erscheint das be­hauptete Vorgehen von I._______ als dilettantisch und nicht plausibel. Zum anderen ist nicht nachvollziehbar, weshalb I._______ erst nach fast sechs Monaten hätte beginnen sollen, Druck auf den Be­schwerdeführer auszuüben. Es ist davon auszugehen, dass I._______ schon viel früher be­gonnen hätte, Druck auf den Beschwerdeführer auszu­üben, hätte er tatsächlich ein Interesse daran gehabt, den Be­schwerdeführer als Spitzel zu rekrutieren. Die darauf Bezug nehmenden Vorbringen in der Beschwerde­schrift (vgl. S. 6 f.) vermögen nicht zu einer anderen Ein­schätzung zu führen. Übereinstimmend mit der Vorinstanz ist sodann festzuhalten, dass es unglaubhaft ist, dass sich I._______ nach monatelangen Bestrebungen mit einer oberflächlichen und inhaltlich nicht aussagekräftigen schriftlichen Erklärung des Beschwerdeführers begnügt haben soll, wie das von ihm geltend gemacht wird (Akten BFM A 7/28, S. 20). Es ist anzu­nehmen, dass I._______ den Beschwerdeführer in weitergehendem Masse verpflichtet hätte, hätte er tatsächlich - wie behauptet - beabsichtigt, den Beschwerdeführer als Spitzel zu verpflichten. Die diesbezüglichen Ausführungen in der Rechtsmittelschrift sind nicht geeignet, an dieser Einschätzung etwas zu ändern, zumal auch das Vorbringen, durch diese Erklärung habe I._______ ein weiteres Druckmittel gegen den Be­schwerdeführer in der Hand gehabt, das Gericht nicht zu überzeugen vermag. Nicht glaubhaft ist überdies die Behauptung des Beschwerdeführers, wonach sich I._______ bei der Vorsprache bei seinem Vater mit dessen Er­klärung zufrieden gegeben habe, wonach er - der Beschwerdeführer - nach Teheran gegangen sei, um dort zu arbeiten (Akten BFM A 7/28, S. 19). Es ist davon auszugehen, dass I._______ vom Vater des Beschwerde­führers nähere Angaben zu dessen Aufenthalt verlangt und ent­sprechende Nachforschungen in Teheran veranlasst hätte, hätten sich die geschilderten Ereignisse tatsächlich wie behauptet zugetragen. Die lediglich als Faxkopie eingereichte Bestätigung des französischen Ablegers der DPK-I vom 6. Mai 2005 ist nicht geeignet, die vom Be­schwerdeführer geltend gemachten Asylgründe glaubhaft zu machen, zumal darin keine konkreten vom Beschwerdeführer in den Befragungen vorgebrachten Ereignisse genannt werden, sondern ledig­lich in genereller Art und Weise von einer Verfolgungssituation die Rede ist, die auf unzählige Personen zutreffen kann, weshalb die Be­stätigung als Gefälligkeits­schreiben zu beurteilen ist. Auch die übrigen eingereichten Beweis­mittel enthalten keine konkreten Hinweise auf eine persönliche Verfolgung des Beschwerdeführers, weswegen sie ebenfalls die von ihm vorgebrachte Ver­folgungssituation nicht glaub­haft zu machen vermögen. Nach dem Gesagten ergibt sich, dass die Vorbringen des Be­schwerdeführers, wonach er von I._______, dem Leiter des staatlichen Sicherheitsdienstes in F._______, unter Anwendung von Druck aufgefordert worden sei, für den iranischen Geheimdienst zu arbeiten, weshalb er sein Heimatland verlassen habe, da er befürchtet habe, bei einer Verweigerung würden ihm erhebliche Nachteile drohen, als nicht überwiegend wahrscheinlich und somit als nicht glaubhaft im Sinne von Art. 7 AsylG zu erachten sind. Vielmehr ist übereinstimmend mit der Vorinstanz davon auszugehen, dass es sich bei der be­haupteten Verfolgungssituation durch den iranischen Geheimdienst lediglich um ein Konstrukt des Beschwerdeführers handelt.</w:t>
      </w:r>
    </w:p>
    <w:p>
      <w:r>
        <w:rPr>
          <w:b/>
        </w:rPr>
        <w:t>E. 5.5</w:t>
      </w:r>
    </w:p>
    <w:p>
      <w:r>
        <w:t>Soweit der Beschwerdeführer überdies geltend macht, er werde im Iran aufgrund seiner kurdischen Ethnie bei der Suche einer staatlichen Arbeitsstelle benachteiligt,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 Die Anforderungen an die Feststellung einer Kollektivverfolgung sind gemäss Rechtsprechung der ARK, die auch für das Bundesver­waltungsgericht Geltung behält, sehr hoch (vgl. dazu EMARK 1993 Nrn. 9 und 10 betreffend syrisch-orthodoxe Christen in der Türkei; EMARK 1995 Nr. 1 betreffend Yeziden in der Türkei;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Bei der begründeten Furcht gilt es zu be­rücksichtigen, dass eine allgemein bekannte Gefährdung einer ganzen Bevölkerungsgruppe die Wahrscheinlichkeit, dass ein Angehöriger des Kollektivs tatsächlich einer Gefährdung ausgesetzt sein könnte, er­höht. Der begründeten Furcht kommt eine Doppelnatur in dem Sinn zu, dass sie einerseits individuell gegen den Betroffenen gerichtete Massnahmen erfordert, anderseits aber für die Anerkennung der Flüchtlingseigenschaft auch genügen lässt, wenn Personen verfolgt wurden, die sich in der gleichen Situation wie der Betroffene befanden (vgl. EMARK 1995 Nr. 1, S. 10 f. mit dortigen Literaturhinweisen; EMARK 2006 Nr. 1, E. 4.3, S. 3f.). Nach Praxis des Bundesverwaltungsgerichts reichen die allgemeinen Benachteiligungen, denen die Kurden im Iran insbesondere bei der Jobsuche ausgesetzt sind, nicht aus, um als asylrelevante Verfolgung eingestuft zu werden.</w:t>
      </w:r>
    </w:p>
    <w:p>
      <w:r>
        <w:rPr>
          <w:b/>
        </w:rPr>
        <w:t>E. 5.6</w:t>
      </w:r>
    </w:p>
    <w:p>
      <w:r>
        <w:t>Abschliessend ist darauf hinzuweisen, dass der Beschwerdeführer aufgrund seiner Ausreise aus dem Iran und der Asylbeantragung in der Schweiz bei einer Rückkehr in seine Heimat keine asylrechtlich relevanten Nachteile zu befürchten hat. Für den vorliegenden Fall ist festzustellen, dass die behauptete illegale Ausreise nicht feststeht und diese mit Blick auf die überwiegend unglaubhaften Verfolgungsvor­bringen zumindest zweifelhaft ist. Selbst wenn der Beschwerdeführer jedoch tatsächlich illegal ausgereist ist und den iranischen Behörden seine Asylgesuchstellung bekannt geworden sein sollte, ist nicht davon auszugehen, dass er bei seiner Rückkehr deswegen mit asylrechtlich relevanten Nachteilen zu rechnen hätte (vgl. Entscheide des Schweizerischen Bundesverwaltungsgerichts [BVGE] 2009/28 E. 7.4.4). An dieser Einschätzung ändert auch der in der Rechtsmittelschrift erhobene Hinweis auf § 56 des Urteil des Europäischen Ge­richtshofs für Menschenrechte (EGMR), R.C. vs. Schweden vom 9. März 2010, Nr. 41827/07, nichts, zumal auch dort nicht festgehalten wird, bei einer illegalen Ausreise aus dem Iran seien bei einer Rück­kehr dorthin in jedem Fall asylrechtlich relevante Nachteile zu be­fürchten. Vielmehr wird dort lediglich festgestellt, dass bei einer il­legalen Ausreise aus diesem Land eine hohe Wahrscheinlichkeit be­steht, dass eine Person bei ihrer Rückkehr in den Iran einer genauen Prüfung unterzogen und ihre Vergangenheit aufgedeckt wird. Da die Vorfluchtgründe des Beschwerdeführers - wie in E. 5.4 f. dargelegt - als unglaubhaft beziehungsweise als nicht asylrelevant zu beurteilen sind, hat er bei einer Rückkehr in den Iran mit überwiegender Wahr­scheinlichkeit keine asylrelevanten Nachteile zu befürchten.</w:t>
      </w:r>
    </w:p>
    <w:p>
      <w:r>
        <w:rPr>
          <w:b/>
        </w:rPr>
        <w:t>E. 6</w:t>
      </w:r>
    </w:p>
    <w:p>
      <w:r>
        <w:t>Zusammenfassend ist festzustellen, dass es dem Beschwerdeführer nicht gelungen ist, nachzuweisen oder zumindest glaubhaft zu machen, dass er in der Heimat ernsthafte Nachteile erlitten hat oder solche bei der Ausreise zu befürchten hatte oder im Falle der Rück­kehr in den Iran befürchten müsste. Nach dem Gesagten erübrigt es sich, auf die Ausführungen und Einwände in der Beschwerde sowie auf die eingereichten Beweismittel im Einzelnen weiter einzugehen, da sie am Ergebnis nichts ändern.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würden, besteht mithin nicht.</w:t>
      </w:r>
    </w:p>
    <w:p>
      <w:r>
        <w:rPr>
          <w:b/>
        </w:rPr>
        <w:t>E. 8.3.3</w:t>
      </w:r>
    </w:p>
    <w:p>
      <w:r>
        <w:t>Der - soweit aktenkundig - gesunde Beschwerdeführer wohnte seit seiner Geburt bis zu seiner Ausreise aus dem Iran in der Provinz E._______, wo gemäss seinen eigenen Aussagen seine Eltern und seine acht Geschwister leben. Es ist daher zu schliessen, dass er bei seiner Rückkehr in den Iran ein soziales Netz vorfinden wird, welches ihn bei Bedarf insbesondere bei der Beschaffung von Wohnraum sowie bei der Stellensuche und der sozialen Integration unterstützen könnte. Zudem verfügt er über einen Universitätsabschluss und hat Berufs­erfahrung als Händler. Ausserdem hat er vor seiner Ausreise ein eigenes Sandwichgeschäft betrieben und spricht neben Sorani auch Farsi, weshalb davon auszugehen ist, er könne sich in seiner Heimat auch in wirtschaftlicher Hinsicht wieder integrieren. Blosse soziale und wirtschaftliche Schwierigkeiten, von denen die ansässige Bevölkerung im Allgemeinen betroffen ist, genügen nicht, um eine Gefährdung im Sinne von Art. 83 Abs. 4 AuG darzustellen (vgl. die weiterhin zu­treffende Praxis in EMARK 2005 Nr. 24 E. 10.1 S. 215). Nach dem Gesagten ist der Vollzug der Wegweisung somit auch als zumutbar zu bezeichnen.</w:t>
      </w:r>
    </w:p>
    <w:p>
      <w:r>
        <w:rPr>
          <w:b/>
        </w:rPr>
        <w:t>E. 8.4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10. November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