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D-7454/2008 vom 16. Oktober 2009</w:t>
      </w:r>
    </w:p>
    <w:p>
      <w:r>
        <w:t>Bundesverwaltungsgericht, 2009-10-16, DE</w:t>
      </w:r>
    </w:p>
    <w:p>
      <w:r>
        <w:rPr>
          <w:b/>
        </w:rPr>
        <w:t xml:space="preserve">Quelle: </w:t>
      </w:r>
      <w:r>
        <w:t>https://mcp.opencaselaw.ch/entscheid/bvger_D-7454_2008</w:t>
      </w:r>
    </w:p>
    <w:p>
      <w:r>
        <w:t>FR: TAF D-7454/2008 du 16 octobre 2009</w:t>
      </w:r>
    </w:p>
    <w:p>
      <w:r>
        <w:t>IT: TAF D-7454/2008 del 16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Vorab ist festzustellen, dass die Behauptung des Beschwerdeführers in der Beschwerde, wonach das Dossier der Eltern von der Vorinstanz nicht berücksichtigt worden sei, in den Akten keine Stütze findet. Auch vom Bundesverwaltungsgericht wurde das Dossier der Eltern beziehungsweise des jüngeren Bruders (N 509 144) zur Beurteilung der vorliegenden Beschwerde beigezogen.</w:t>
      </w:r>
    </w:p>
    <w:p>
      <w:r>
        <w:rPr>
          <w:b/>
        </w:rPr>
        <w:t>E. 6.1</w:t>
      </w:r>
    </w:p>
    <w:p>
      <w:r>
        <w:t>Das BFM lehnte das Asylgesuch einerseits mit der Begründung ab, die Vorbringen des Beschwerdeführers im Zusammenhang mit den Newroz-Feierlichkeiten in den Jahren 2006 beziehungsweise 2008 würden den Anforderungen an die Glaubhaftigkeit gemäss Art. 7 AsylG nicht standhalten.</w:t>
      </w:r>
    </w:p>
    <w:p>
      <w:r>
        <w:rPr>
          <w:b/>
        </w:rPr>
        <w:t>E. 6.2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6.3</w:t>
      </w:r>
    </w:p>
    <w:p>
      <w:r>
        <w:t>Vorab ist festzustellen, dass der Beschwerdeführer den Wortlaut sämtlicher Protokolle mit seiner Unterschrift bestätigt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bei der Befragung im Empfangszentrum zumindest ansatzweise erwähnt werden.</w:t>
      </w:r>
    </w:p>
    <w:p>
      <w:r>
        <w:rPr>
          <w:b/>
        </w:rPr>
        <w:t>E. 6.4</w:t>
      </w:r>
    </w:p>
    <w:p>
      <w:r>
        <w:t>In Berücksichtigung der vorgenannten Praxis ist mit der Vorinstanz festzustellen, dass das in der Bundesanhörung erstmals geltend gemachte Vorbringen des Beschwerdeführers, wonach er am 21. März 2008 mit Freunden an eine Newroz-Feier habe gehen wollen, jedoch mehrere Zivilpolizisten den Zug zerstört hätten, wobei ein Kurde getötet worden sei, als nachgeschoben und damit unglaubhaft zu beurteilen ist. Da es sich dabei um einen zentralen Asylgrund handelt (vgl. A 9/18, S. 14), hätte vom Beschwerdeführer erwartet werden können, dass er diesen Grund bereits anlässlich der Kurzbefragung zumindest ansatzweise erwähnt hätte. Hinzuweisen ist insbesondere darauf, dass der Beschwerdeführer bei der Kurzbefragung explizit gesagt hat, dass es keine anderen Asylgründe gebe (act. A 1/8, S. 5).</w:t>
      </w:r>
    </w:p>
    <w:p>
      <w:r>
        <w:rPr>
          <w:b/>
        </w:rPr>
        <w:t>E. 6.5</w:t>
      </w:r>
    </w:p>
    <w:p>
      <w:r>
        <w:t>Bezüglich der Vorbringen des Beschwerdeführers im Zusammenhang mit der Newroz-Feier im März 2006 ist in Übereinstimmung mit der Vorinstanz festzuhalten, dass er dieses Ereignis widersprüchlich geschildert hat. So führte der Beschwerdeführer anlässlich der Kurzbefragung aus, einige Teilnehmer der Newroz-Feier hätten türkische Fahnen, welche vor Schulhäusern aufgehängt gewesen seien, verbrannt (act. A 1/8, S. 4), wohingegen er bei der Anhörung geltend machte, Teilnehmer der Feierlichkeiten hätten in einem Schulhaus lediglich eine türkische Fahne heruntergerissen und zerrissen (act. A 9/18, S. 6, 15). Zudem sagte der Beschwerdeführer anlässlich der Kurzbefragung aus, er habe gehört, dass sein Name auf Fahndungslisten aufgeführt gewesen sei, die man an Mauern geklebt habe (act. A 1/8, S. 4), demgegenüber er bei der Anhörung zu Protokoll gab, sein Name sei auf Plakaten aufgeführt gewesen, die an Kandelabern aufgehängt gewesen seien (act. A 9/18, S. 9). Diese offensichtlichen Widersprüche lassen sich auch nicht damit erklären, dass die Befragungen für den Beschwerdeführer mit grosser Anspannung und Stress verbunden gewesen seien, wie dies in der Rechtsmittelschrift geltend gemacht wird. Tatsächlich Verfolgte sind, trotz einer gewissen Anspannung während den Befragungen, durchaus in der Lage, ihre Asylgründe schlüssig und widerspruchsfrei vorzutragen, sofern sie diese erlebt haben. Unglaubhaft ist überdies die Aussage des Beschwerdeführers, wonach die Armee mittels öffentlich aufgehängten Fahndungslisten beziehungsweise Plakaten nach ihm gesucht haben soll, obwohl sie gemäss Aussagen des Beschwerdeführers genau gewusst hat, wo er wohnt, da sie ihn regelmässig zu Hause aufgesucht haben soll, um ihn über den Aufenthalt seines Vaters zu befragen (act. A 9/18, S. 10). Es ist daher anzunehmen, dass die Armee versucht hätte, den Beschwerdeführer zu Hause zu verhaften, anstelle öffentlich mittels Fahndungslisten beziehungsweise Plakaten nach ihm zu fahnden, hätte sie tatsächlich nach ihm gesucht. Unplausibel ist ausserdem die Behauptung des Beschwerdeführers, wonach die Armee erst über ein halbes Jahr nach der Newroz-Feier im März 2006 - die vom Beschwerdeführer als Anlass für die Suche nach ihm vermutet wird - nach seiner Person gesucht haben soll (act. A 9/18, S. 8). Ist doch davon auszugehen, dass die Armee schon viel führer nach dem Beschwerdeführer gefahndet hätte, hätte sie ihn aufgrund der Ereignisse an der Newroz-Feier tatsächlich festnehmen wollen. Das Bundesverwaltungsgericht gelangt daher nach Prüfung der gesamten Akten zur Auffassung, dass es dem Beschwerdeführer nicht gelungen ist, die Suche der türkischen Behörden nach seiner Person aufgrund der Ereignisse im März 2006 glaubhaft zu machen.</w:t>
      </w:r>
    </w:p>
    <w:p>
      <w:r>
        <w:rPr>
          <w:b/>
        </w:rPr>
        <w:t>E. 6.6.1</w:t>
      </w:r>
    </w:p>
    <w:p>
      <w:r>
        <w:t>Anlässlich der Anhörung gab der Beschwerdeführer zu Protokoll, sich bei einer Rückkehr in die Türkei auch vor dem Militärdienst zu fürchten, da man in der Türkei zur Armee müsse, wenn man 19 Jahre alt gewesen sei. Als Kurde werde man von der Armee ins Kurdengebiet geschickt, wo man gegen Kurden kämpfen müsse. In der Rechtsmittelschrift machte der Beschwerdeführer zudem geltend, während seines Aufenthalts in Istanbul sei ein ihn betreffender Einberufungsbefehl zugestellt worden, den sein in D._______ lebender Onkel entgegengenommen habe. Im Militär müsste er ernsthaft damit rechnen, wegen den kritischen Äusserungen seines Vaters gegenüber der türkischen Armee gefoltert und schikaniert zu werden. Sein Vater sei wegen seinen kritischen Äusserungen zu einer langjährigen Gefängnisstrafe verurteilt worden. Es würden ihm zudem Misshandlungen und Folter drohen, wenn er wegen der Militärdienstverweigerung eine Haftstrafe absitzen müsste.</w:t>
      </w:r>
    </w:p>
    <w:p>
      <w:r>
        <w:rPr>
          <w:b/>
        </w:rPr>
        <w:t>E. 6.6.2</w:t>
      </w:r>
    </w:p>
    <w:p>
      <w:r>
        <w:t>Vorab ist festzustellen, dass es nicht glaubhaft ist, dass der Beschwerdeführer einen Einberufungsbefehl der türkischen Armee erhalten haben soll, wie das in der Beschwerde geltend gemacht wird. Dies, da er noch anlässlich der Anhörung ausgesagt hat, er habe in der Türkei noch kein Militäraufgebot erhalten (act. A 9/18, S. 14). Ausserdem ist nicht nachvollziehbar, wie der Einberufungsbefehl dem Onkel zugestellt worden sein will, da gemäss Angaben des Beschwerdeführers der Onkel nicht in D._______, sondern in Deutschland lebt (act. A 9/18, S. 3). Überdies hat es der Beschwerdeführer unterlassen, den in der Beschwerde in Aussicht gestellten Einberufungsbefehl zu den Akten zu reichen, obwohl es aufgrund der gesetzlich verankerten Mitwirkungspflicht gemäss Art. 8 Abs. 1 AsylG seine Aufgabe gewesen wäre. Ohnehin kann der Beschwerdeführer aus dem Umstand, dass er den Militärdienst in der Türkei noch nicht geleistet hat, nichts zu seinen Gunsten ableiten. Gemäss konstanter Praxis stellen allfällige strafrechtliche Konsequenzen wegen Refraktion oder Desertion bei einer Rückkehr ins Heimatland grundsätzlich keine Verfolgung im Sinne des Asylgesetzes dar. Es ist ein legitimes Recht jedes Staates, seine Bürger zum Militärdienst einzuberufen, weshalb strafrechtliche oder disziplinarische Massnahmen bei Pflichtverletzungen grundsätzlich nicht als politisch motivierte oder menschenrechtswidrige Verfolgungsmassnahmen zu betrachten sind (vgl. EMARK 2006 Nr. 3 E. 4.2 S. 31 f., mit weiteren Hinweisen). Wehrpflichtige Männer werden in der Türkei aufgrund der Staatsangehörigkeit und ihres Jahrgangs für das Militär aufgeboten, ohne dass dieser Verpflichtung eine asylrechtlich relevante Verfolgungsabsicht des Staates zugrunde liegen würde. Die Wahrscheinlichkeit, dass kurdische Soldaten während des obligatorischen Militärdienstes gegen Angehörige ihrer eigenen Ethnie eingesetzt werden, ist sehr gering, und es kann jedenfalls ausgeschlossen werden, dass dies auf systematische Weise geschieht. Eine allfällige Bestrafung wegen Dienstverweigerung wäre vorliegend als legitime staatliche Massnahme zur Durchsetzung einer staatsbürgerlichen Pflicht zu sehen und damit asylrechtlich nicht von Belang. Bisher wurde nicht bekannt, dass kurdische Refraktäre/Deserteure ihrer Ethnie oder ihres Gewissens wegen im Sinne eines "Malus" generell strengere Strafen zu gewärtigen hätten als Refraktäre/Deserteure türkischer Ethnie. Nachdem sich die vom Beschwerdeführer allenfalls zu erwartenden strafrechtlichen Sanktionen als nicht relevant im Sinne des Asylgesetzes erweisen (vgl. dazu EMARK 2004 Nr. 2 S. 12 ff.), liegt in dieser Hinsicht keine objektiv begründete Furcht vor Verfolgung vor.</w:t>
      </w:r>
    </w:p>
    <w:p>
      <w:r>
        <w:rPr>
          <w:b/>
        </w:rPr>
        <w:t>E. 6.6.3</w:t>
      </w:r>
    </w:p>
    <w:p>
      <w:r>
        <w:t>Soweit der Beschwerdeführer geltend macht, er müsste im Militär ernsthaft damit rechnen, wegen den kritischen Äusserungen seines Vaters gefoltert und schikaniert zu werden, weshalb bei ihm eine Reflexverfolgung vorliege, ist festzuhalten, dass eine begründete Furcht vor Reflexverfolgung selbst bei enger Verwandtschaft mit Personen, nach welchen landesweit gefahndet wird, keinesfalls automatisch gegeben ist. Selbst wenn es zutreffen sollte, dass der Vater des Beschwerdeführers wegen seinen kritischen Äusserungen gegenüber der türkischen Armee zu einer langjährigen Gefängnisstrafe verurteilt worden ist, wie das vorgebracht wird, ist nicht davon auszugehen, dass der Beschwerdeführer bei einer Rückkehr in die Türkei im Militär - sofern er überhaupt eingezogen würde - Misshandlungen und Schikanen zu befürchten hätte, da er anlässlich der Anhörung verneinte, in der Türkei Probleme wegen seines Vaters gehabt zu haben (act. A 9/18, S. 3). Davon ist umso mehr auszugehen, da der Beschwerdeführer bei der Anhörung zu Protokoll gab, dass er - solange er im Haus seines Onkels in D._______ gewohnt habe - regelmässig von der Armee nach dem Aufenthalt seines Vaters befragt worden sei (act. A 9/18, S. 10), ohne dass ihm etwas passiert sei. Da die angeblichen Strafverfahren gegen den Vater des Beschwerdeführers bereits 2003 beziehungsweise 2004 eingeleitet worden sind (N 509 144, act. A 2/10, S. 6), ist anzunehmen, dass der Beschwerdeführer bereits vor seiner Ausreise aus der Türkei wegen den behaupteten kritischen Äusserungen seines Vaters Probleme mit der Armee gehabt hätte, hätte er bei einer Rückkehr in die Türkei wirklich etwas zu befürchten. Gegen eine Reflexverfolgung des Beschwerdeführers spricht überdies der Umstand, dass nach wie vor mehrere seiner Geschwister in der Türkei leben (act. A 9/18, S. 5), ohne dass aus den Akten Hinweise dafür ersichtlich wären, dass sie wegen ihres Vaters irgendwelche Nachteile seitens der Behörden zu gewärtigen hätten. Aus diesem Grund ist auch nicht davon auszugehen, dass dem Beschwerdeführer - wie das von ihm geltend gemacht wird - wegen den Äusserungen seines Vaters Misshandlungen und Folter drohen, für den Fall, dass er wegen Militärdienstverweigerung eine Haftstrafe absitzen müsste.</w:t>
      </w:r>
    </w:p>
    <w:p>
      <w:r>
        <w:rPr>
          <w:b/>
        </w:rPr>
        <w:t>E. 6.7</w:t>
      </w:r>
    </w:p>
    <w:p>
      <w:r>
        <w:t>Bezüglich des Vorbringens des Beschwerdeführers, wonach er von der Gendarmerie ein paar Mal aufgefordert worden sei, Dorfschützer zu werden, ist in Übereinstimmung mit der Vorinstanz festzuhalten, dass es sich dabei nicht um asylrelevante Massnahmen handelt, zumal dem Beschwerdeführer gemäss eigenen Angaben aus seiner Ablehnung dieser Aufforderung keine Nachteile erwachsen sind.</w:t>
      </w:r>
    </w:p>
    <w:p>
      <w:r>
        <w:rPr>
          <w:b/>
        </w:rPr>
        <w:t>E. 6.8.1</w:t>
      </w:r>
    </w:p>
    <w:p>
      <w:r>
        <w:t>Der Beschwerdeführer macht in der Rechtsmittelschrift im Weiteren geltend, er habe sich am 11. Oktober 2008 in F._______ an einer Demonstration beteiligt, an welcher gegen die menschenrechtswidrige Behandlung des Kurdenführers Öcalan demonstriert worden sei, weshalb er begründete Furcht habe, auch wegen seiner politischen Tätigkeit in seinem Heimatland verfolgt zu werden. Zum Beweis seiner Vorbringen reichte er vier Fotografien in Kopie zu den Akten. Es ist somit zu prüfen, ob der Beschwerdeführer subjektive Nachfluchtgründe geltend machen kann.</w:t>
      </w:r>
    </w:p>
    <w:p>
      <w:r>
        <w:rPr>
          <w:b/>
        </w:rPr>
        <w:t>E. 6.8.2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Massgeblich ist, ob die türkischen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6.8.3</w:t>
      </w:r>
    </w:p>
    <w:p>
      <w:r>
        <w:t>Gemäss Erkenntnissen des Bundesverwaltungsgerichts ist zwar davon auszugehen, dass die türkischen Sicherheitsbehörden die Aktivitäten der jeweiligen Exilgemeinschaften in einem gewissen Ausmass überwachen und mittels elektronischer Datenbanken registrieren. Von Bedeutung ist vorliegend die tatsächliche Erkennbarkeit der behaupteten exilpolitischen Tätigkeit, die Individualisierbarkeit des Beschwerdeführers sowie seine konkrete exilpolitische Tätigkeit. Ein exponierter exilpolitischer Einsatz des Beschwerdeführers, der ihn ins Zentrum des Interesses des türkischen Nachrichtendienstes rücken könnte, ist aufgrund der vorliegenden Akten klar zu verneinen. Der Beschwerdeführer hat zwar verschiedene Fotografien eingereicht, die ihn beziehungsweise seine Eltern bei einer Kundgebung zeigen, ansonsten brachte er jedoch kein weiterreichendes exilpolitisches Engagement in der Schweiz vor. In diesem Zusammenhang ist festzuhalten, dass bei behaupteten subjektiven Nachfluchtgründen in der Regel ein strikter Beweis möglich und deshalb erforderlich ist (vgl. WALTER STÖCKLI, Asyl, in: PETER UEBERSAX/PETER MÜNCH/THOMAS GEISER/MARTIN ARNOLD {Hrsg.} Ausländerrecht, Handbücher für die Anwaltspraxis, Band VIII, Basel u.a. 2002, S. 365 Rz. 8.125). Es ist unwahrscheinlich, dass die türkischen Sicherheitsbehörden sich explizit für das sich an der Teilnahme an einer Kundgebung für Öcalan erschöpfende Engagement des Beschwerdeführers interessieren. Es ist davon auszugehen, dass die türkischen Behörden nur dann ein Interesse an der Identifizierung einer Person haben, wenn deren Aktivitäten als konkrete Bedrohung für das politische System wahrgenommen werden. Für die Annahme, der Beschwerdeführer habe sich in dieser besonderen Art und Weise betätigt, bestehen keine Anhaltspunkte. Er gehört mit Sicherheit nicht zur Zielgruppe des "harten Kerns" von aktiven oppositionellen Kurden im Ausland, für die sich die türkischen Behörden interessieren. Sein politisches Engagement in der Schweiz muss demnach als äusserst gering bezeichnet werden. Es ist deshalb davon auszugehen, dass der Beschwerdeführer, welcher in der Türkei bezeichnenderweise nicht in nennenswertem Ausmass politisch tätig gewesen sein will (act. A 9/18, S. 6), bei einer Rückkehr in sein Heimatland keine asylrechtlich relevante Gefährdung zu befürchten hat. Im vorliegenden Verfahren fehlen jegliche stichhaltige Hinweise darauf, dass gegen den Beschwerdeführer aufgrund der vorgebrachten Aktivitäten in der Türkei ein Strafverfahren oder andere behördliche Massnahmen eingeleitet worden sind. In diesem Zusammenhang ist unter Hinweis auf die in Art. 8 AsylG verankerte Mitwirkungspflicht festzuhalten, dass es nicht Sache der schweizerischen Asylbehörden sein kann, jede auch nur ansatzweise und abstrakt mögliche Gefährdungssituation im Heimatland des Beschwerdeführers abklären zu müssen. Subjektive Nachfluchtgründe im Sinne von Art. 54 AsylG liegen demnach nicht vor.</w:t>
      </w:r>
    </w:p>
    <w:p>
      <w:r>
        <w:rPr>
          <w:b/>
        </w:rPr>
        <w:t>E. 6.9</w:t>
      </w:r>
    </w:p>
    <w:p>
      <w:r>
        <w:t>Der Beschwerdeführer erfüllt somit die Voraussetzungen zur Zuerkennung der Flüchtlingseigenschaft nicht, weshalb die Vorinstanz das Asylbegehren zu Recht abgelehnt hat. An diesem Ergebnis vermögen auch die weiteren Ausführungen des Beschwerdeführers in der Rechtsmittelschrift nichts zu ändern, weshalb darauf nicht näher eingegangen wird. Bezüglich des Eventualbegehrens, wonach die Sache zur Neubeurteilung an die Vorinstanz zurückzuweisen sei, damit das vorliegende Gesuch zusammen mit dem Gesuch der Eltern des Beschwerdeführers geprüft werden könne, ist festzuhalten, dass es zwar zutrifft, dass ein persönlicher und ein teilweise sachlicher Zusammenhang zwischen den Verfahren des Beschwerdeführers und dem seiner Eltern beziehungsweise seines Bruders besteht. Da das Dossier der Eltern beziehungsweise des jüngeren Bruders (N 509 144) zur Beurteilung der vorliegenden Beschwerde beigezogen wurde, ist der Sachverhalt genügend erstellt, weshalb sich eine Rückweisung der Sache zur Neubeurteilung an die Vorinstanz nicht aufdrängt. Das Eventualbegehren ist daher abzuweisen.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8.4.2</w:t>
      </w:r>
    </w:p>
    <w:p>
      <w:r>
        <w:t>Vorliegend ist der Vollzug als zumutbar zu erachten, weil keine Hinweise dafür erkennbar sind, der Beschwerdeführer wäre bei einer Rückkehr in die Türkei aufgrund der allgemeinen Lage einer konkreten Gefährdung ausgesetzt. Das Bundesverwaltungsgericht erachtet den Wegweisungsvollzug in die Türkei gestützt auf die allgemeine Lage als generell zumutbar.</w:t>
      </w:r>
    </w:p>
    <w:p>
      <w:r>
        <w:rPr>
          <w:b/>
        </w:rPr>
        <w:t>E. 8.4.3</w:t>
      </w:r>
    </w:p>
    <w:p>
      <w:r>
        <w:t>Auch aufgrund der persönlichen Situation des Beschwerdeführers sind keine Gründe ersichtlich, die gegen die Zumutbarkeit des Wegweisungsvollzugs sprechen. Der gestützt auf die Aktenlage junge und gesunde Beschwerdeführer verfügt in seinem Heimatland über ein tragfähiges Beziehungsnetz, auf das er sich bei seiner Rückkehr stützten kann. In Istanbul, wo der Beschwerdeführer die letzten eineinhalb Jahre vor seiner Ausreise gelebt hat, leben mehrere Geschwister, ein Onkel und eine Tante. Auch unter Berücksichtigung des Umstandes, dass der Beschwerdeführer mehrheitlich in Deutschland aufgewachsen ist und er die türkische Sprache lediglich mässig spricht, erscheint der Wegweisungsvollzug als zumutbar. Der Beschwerdeführer hat in Deutschland die Hauptschule abgeschlossen und verfügt somit über eine solide Grundausbildung. Deshalb und wegen seiner sehr guten Deutschkenntnisse ist davon auszugehen, dass er sich in seiner Heimat in den Arbeitsmarkt integrieren kann. Blosse soziale und wirtschaftliche Schwierigkeiten, von denen die ansässige Bevölkerung im Allgemeinen betroffen ist, genügen nicht, um eine Gefährdung im Sinne von Art. 83 Abs. 4 AuG darzustellen (vgl. die weiterhin zutreffende Praxis der ARK in EMARK 2005 Nr. 24 E. 10.1 S. 215). Der Vollzug der Wegweisung des Beschwerdeführers in die Türkei erweist sich demnach als zumutbar.</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Wegweisungsvollzug zu bestätigen. Die Vorinstanz hat den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23. Dezember 2008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