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D-7450/2009 vom 29. Juni 2011</w:t>
      </w:r>
    </w:p>
    <w:p>
      <w:r>
        <w:t>Bundesverwaltungsgericht, 2011-06-29, DE</w:t>
      </w:r>
    </w:p>
    <w:p>
      <w:r>
        <w:rPr>
          <w:b/>
        </w:rPr>
        <w:t xml:space="preserve">Quelle: </w:t>
      </w:r>
      <w:r>
        <w:t>https://mcp.opencaselaw.ch/entscheid/bvger_D-7450_2009</w:t>
      </w:r>
    </w:p>
    <w:p>
      <w:r>
        <w:t>FR: TAF D-7450/2009 du 29 juin 2011</w:t>
      </w:r>
    </w:p>
    <w:p>
      <w:r>
        <w:t>IT: TAF D-7450/2009 del 29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aht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 Asyl, in: Uebersax/Rudin/Hugi Yar/Geiser [Hrsg.], Ausländerrecht, 2. Aufl.,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4.3.1</w:t>
      </w:r>
    </w:p>
    <w:p>
      <w:r>
        <w:t>Nachteilen, die Frauen zugefügt werden oder zugefügt werden drohen, liegt ein flüchtlingsrechtlich relevantes Motiv im Sinne von Art. 3 Abs. 1 AsylG dann zugrunde, wenn diese Nachteile in diskriminierender Weise an das Merkmal des (weiblichen) Geschlechts anknüpfen (vgl. dazu EMARK 2006 Nr. 32 E. 8 351 ff., Walter Stöckli, a.a.O. Rz. 11.11).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4.3.2</w:t>
      </w:r>
    </w:p>
    <w:p>
      <w:r>
        <w:t>Es stellt sich im Zusammenhang mit der von der Beschwerdeführerin geltend gemachten Misshandlungen und Vergewaltigungen, somit die Frage, ob sie in der Türkei seitens der Behörden und Institutionen Schutz erlangen kann oder ob sie auf internationalen Schutz - der lediglich subsidiär zur Anwendung kommt - angewiesen ist (vgl. BVGE 2008/12 E. 5 S. 154 f.).</w:t>
      </w:r>
    </w:p>
    <w:p>
      <w:r>
        <w:rPr>
          <w:b/>
        </w:rPr>
        <w:t>E. 4.4</w:t>
      </w:r>
    </w:p>
    <w:p>
      <w:r>
        <w:t>Diesbezüglich ist festzustellen, dass die Türkei in den vergangenen Jahren kontinuierlich Schritte zur Verbesserung der rechtlichen und gesellschaftlichen Situation der Frauen im Allgemeinen sowie im Besonderen zu deren Schutz vor Übergriffen mit soziokulturellem Hintergrund bis hin zum Ehrenmord unternommen hat.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Das Gemeindegesetz Nr. 5393 verpflichtet sodann jede Gemeinde mit über 50'000 Einwohnern zum Aufbau von Schutzeinrichtungen für Frauen und Kinder (vgl. dazu UK Border Agency, Country of Origin Information Report, Turkey, 20. Oktober 2009, S. 118-135, mit Hinweisen auf weitere Quellen). In Nachachtung dieser neuen gesetzlichen Bestimmungen kam es seither einerseits verschiedentlich zu Verurteilungen von Männern, welche sich eines Ehrverbrechens schuldig gemacht hatten; so wurden beispielsweise im Jahre 2007 durch Gerichte in Istanbul und Diyarbakir lebenslange Freiheitsstrafen wegen Ehrenmorden verhängt (vgl. U.S. Department of State, Turkey, Country Report on Human Rights Practices 2007, 11. März 2008). Andererseits wurden etliche Frauenhäuser eingerichtet - so betreibt das SHCEK (Sosyal Hizmetler ve Cocuk Esirgeme Kurumu = Generaldirektorat für Soziale Dienste und Kinderschutz) derzeit 23 solche Unterkünfte und hat die Errichtung von weiteren zehn Häusern in Aussicht gestellt - und im Oktober 2007 zusätzlich eine von der EU finanziell unterstützte Telefon-Hotline installiert, welche Anrufe von bedrohten Frauen entgegennimmt und die Opfer innerfamiliärer Gewalt an die zuständige Polizeistelle verweist sowie Anwälte und psychologische Fachpersonen vermittelt (vgl. UK Border Agency, Country of Origin Information Report, Turkey, 29. August 2008, S. 150, Rz. 22.47 und S. 160, Rz. 22.86). Daneben sind auch verschiedene spezifische Nichtregierungsorganisationen um eine Verbesserung der Stellung der Frau sowie um Unterstützung und Gewährung von Schutz an Opfer innerfamiliärer Gewalt bemüht (vgl. UK Border Agency, Country of Origin Information Report, Turkey, 29. August 2008, S. 162, Rz. 22.93, und S. 163 f., Rz. 22.99); sie arbeiten nach eigenen Angaben gut mit den staatlichen Stellen und den Polizeibehörden zusammen (vgl. U.S. Department of State, Turkey, Country Report on Human Rights Practices 2007, 11. März 2008), Kapitel "women"; vgl. auch Necla Kelek, Bittersüsse Heimat, Bericht aus dem Inneren der Türkei, Köln 2008, S. 123, wonach die in Diyarbakir domizilierte Frauenrechtsorganisation Ka-Mer mit Hilfe der Polizei und der Staatsanwaltschaft besonders gefährdete Frauen, in deren Fällen keine Vermittlung mit den sie verfolgenden Verwandten möglich ist, unter einer neuen Identität an einem anderen Ort in der Türkei ansiedelt). Schliesslich unterhält auch die Zeitung "Hurriyet" - in Kooperation mit staatlichen Stellen und teilweise finanziert von der EU - eine rund um die Uhr zugängliche, von sieben Psychologen und zwei Anwälten besetzte Telefon-Hotline (vgl. UK Border Agency, Country of Origin Information Report, Turkey, 29. August 2008, S. 151, Rz. 22.49).</w:t>
      </w:r>
    </w:p>
    <w:p>
      <w:r>
        <w:rPr>
          <w:b/>
        </w:rPr>
        <w:t>E. 4.5</w:t>
      </w:r>
    </w:p>
    <w:p>
      <w:r>
        <w:t>Nach dem Gesagten ist festzustellen, dass bei den türkischen Behörden in den vergangenen Jahren ein Umdenken in Bezug auf frauenspezifische Schutzanliegen begonnen hat und erste entsprechende Einrichtungen geschaffen wurden; daneben bieten auch verschiedene nichtstaatliche Stellen betroffenen Frauen Unterstützung. Auch wenn die Umsetzung der staatlichen Programme nur langsam vorankommt und das Phänomen innerfamiliärer Gewalt bis hin zu Ehrenmorden nach wie vor virulent ist (vgl. dazu Amnesty International, Jahresberichte 2008 und 2009), ist davon auszugehen, dass sich die Beschwerdeführerin in der Türkei nicht in einer ausweglosen Situation befindet, mithin auf eine unter dem Sicherheitsaspekt valable innerstaatliche Fluchtalternative zurückgreifen kann; daran können auch der von ihr eingereichte Zeitungsartikel sowie die von ihr angeführten Urteile nichts ändern, zumal diesen ein anderer Sachverhalt zu Grunde liegt, der mit demjenigen im vorliegenden Fall nicht verglichen werden kann. Im vorliegenden Fall kommt zudem hinzu, dass sich die Beschwerdeführerin ihren eigenen Angaben zufolge gar nie an die türkischen Behörden gewandt hat (vgl. A1/10 S. 7; A11/13 S. 7), weshalb diesen weder mangelnder Schutzwille noch mangelnde Schutzfähigkeit vorgeworfen werden kann. Zur Vermeidung von Wiederholungen kann an dieser Stelle auf die zutreffenden Erwägungen in der angefochtenen Verfügung verwiesen werden, denen sich das Bundesverwaltungsgericht vollumfänglich anschliesst. Die Vorbringen der Beschwerdeführerin vermögen demnach den Anforderungen an eine Gefährdung im Sinne von Art. 3 AsylG nicht standzuhalten. Aufgrund der Akten ist zwar davon auszugehen, dass sie zumindest vorderhand - Vermittlungsbemühungen mit ihrem Ehemann haben bis jetzt nicht stattgefunden - ihrem Ehemann aus dem Weg gehen wird, was zu gewissen Einschränkungen in ihrer Lebensführung führt, da sie nicht in ihre Herkunftsregion zurückkehren kann. Es ist jedoch davon auszugehen, dass die Beschwerdeführerin bei den zuständigen Stellen um Unterstützung nachsuchen kann und auch - wie schon in der Vergangenheit - bei einem Teil ihrer Verwandtschaft beziehungsweise ihrem Freundeskreis (vgl. A11/13 S. 9, wonach sich die Beschwerdeführerin zwei Tage bei ihrer Schwester und sechs Monate bei ihrer Freundin G._______ aufgehalten hat) weiterhin Rückhalt finden wird, sodass sie sich nicht in einer Bedrohungssituation wiederfinden wird, der sie nur durch Aufenthalt in einem Drittstaat entgehen kann.</w:t>
      </w:r>
    </w:p>
    <w:p>
      <w:r>
        <w:rPr>
          <w:b/>
        </w:rPr>
        <w:t>E. 4.6</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die Beschwerdeführerin einen flüchtlingsrechtlich bedeutsamen Sachverhalt weder nachgewiesen noch glaubhaft gemacht hat. Die Feststellung des BFM, sie erfülle die Flüchtlingseigenschaft nicht, ist dementsprechend zu bestätigen. Das BFM hat das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Es bestehen vorliegend keine konkreten Anhaltspunkte, welche darauf hindeuten würden, die Beschwerdeführerin gerate aufgrund der allgemeinen Situation in der Türkei bei einer Rückkehr in eine existenzbedrohende Situation. In der Türkei besteht keine Situation generalisierender Gewalt, die sich über das ganze Staatsgebiet oder weite Teile davon erstrecken würde. Einer Rückkehr der Beschwerdeführerin stehen auch keine überwiegenden individuellen Gründe wirtschaftlicher, sozialer oder gesundheitlicher Natur entgegen. Das BFM hat in seiner Vernehmlassung vom 29. Juli 2010 festgehalten, die Tatsache, dass sich die Beschwerdeführerin in psychiatrischer Behandlung befinde, vermöge ihre Weisung nicht als unzumutbar erscheinen lassen, da sich in der Türkei und insbesondere in E._______ die notwendigen medizinischen Strukturen zur Behandlung psychischer Probleme durchaus gegeben seien. Dieser Einschätzung schliesst sich das Bundesverwaltungsgericht an (vgl. Urteil des Bundesverwaltungsgerichts D-204/2009. März 2010 E.7). In der Türkei sind landesweit, insbesondere aber in E._______, sowohl psychiatrische Einrichtungen, ausgebildetes Fachpersonal und Psychopharmaka vorhanden, so dass die Beschwerdeführerin allfällige psychische Probleme angemessen behandeln lassen kann. Die geltend gemachten körperlichen Beschwerden stellen gemäss den eingereichten Arztzeugnissen vom 7. September 2009 sowie vom 18. November 2009 kein Wegweisungshindernis dar. Auch hier ist davon auszugehen, dass diese im Heimatland der Beschwerdeführerin behandelbar sind. Die 46-jährige Beschwerdeführerin wird nach ihrer Rückkehr entgegen den in der Beschwerde geäusserten Befürchtungen nicht auf sich allein gestellt sein. Sie wird seitens der ihr wohl gesinnten Verwandten und ihrer Freundinnen eine gewisse Unterstützung finden und sich an die zuständigen Behörden beziehungsweise an eine Nichtregierungsorganisation wenden können, bei denen sie ebenfalls Beratung und Unterstützung finden wird. Sie bezeichnet das Türkische als ihre Muttersprache und verfügt über die Voraussetzungen, sich mit Unterstützung mittelfristig eine Existenz aufzubauen (vgl. A1710 S. 3 F. 8). Blosse soziale und wirtschaftliche Schwierigkeiten, von denen die ansässige Bevölkerung im Allgemeinen betroffen ist, begründen im Übrigen keine Gefährdung im Sinne von Art. 83 Abs. 4 AuG (vgl. EMARK 2005 Nr. 24 E. 10.1 S. 215). Der Vollzug der Wegweisung erweist sich mithin nicht als unzumutbar.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Gemäss Art. 65 Abs. 1 VwVG haben auf Antrag hin diejenigen Personen Anspruch auf unentgeltliche Rechtspflege, welche nicht über die erforderlichen Mittel verfügen und deren Begehren nicht aussichtslos erscheinen. Die Beschwerdeführerin stellte mit der Beschwerde den Antrag, ihr sei die unentgeltliche Rechtspflege zu gewähren. Die von der Beschwerdeführerin gestellten Begehren erscheinen im Zeitpunkt der Beschwerdeeingabe nicht aussichtslos und sie ist bedürftig im Sinne von Art. 65 Abs. 1 VwVG.</w:t>
      </w:r>
    </w:p>
    <w:p>
      <w:r>
        <w:rPr>
          <w:b/>
        </w:rPr>
        <w:t>E. 8.2</w:t>
      </w:r>
    </w:p>
    <w:p>
      <w:r>
        <w:t>Das Gesuch um Gewährung der unentgeltlichen Rechtspflege im Sinne von Art. 1 VwVG ist deshalb gutzuheissen und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