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D-7435/2015 vom 8. September 2016</w:t>
      </w:r>
    </w:p>
    <w:p>
      <w:r>
        <w:t>Bundesverwaltungsgericht, 2016-09-08, DE</w:t>
      </w:r>
    </w:p>
    <w:p>
      <w:r>
        <w:rPr>
          <w:b/>
        </w:rPr>
        <w:t xml:space="preserve">Quelle: </w:t>
      </w:r>
      <w:r>
        <w:t>https://mcp.opencaselaw.ch/entscheid/bvger_D-7435_2015</w:t>
      </w:r>
    </w:p>
    <w:p>
      <w:r>
        <w:t>FR: TAF D-7435/2015 du 8 septembre 2016</w:t>
      </w:r>
    </w:p>
    <w:p>
      <w:r>
        <w:t>IT: TAF D-7435/2015 del 8 settembre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2015/2 E. 7;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des Beschwerdeführers, als ethnischer Hazara in Pakistan verfolgt zu werden beziehungsweise wegen Tätigkeiten einzelner Familienmitgliedern Verfolgung zu befürchten, keine asylrelevante Gefährdungssituation des Beschwerdeführers ergibt.</w:t>
      </w:r>
    </w:p>
    <w:p>
      <w:r>
        <w:rPr>
          <w:b/>
        </w:rPr>
        <w:t>E. 5.4</w:t>
      </w:r>
    </w:p>
    <w:p>
      <w:r>
        <w:t>Wie in BVGE 2014/32 hinsichtlich der Sicherheitslage der Hazara in Pakistan - insbesondere in der Provinz Belutschistan und in der Stadt Quetta - festgehalten, gehören die Hazara als Schiiten in Pakistan zu den von religiöser Gewalt seitens sunnitischer Extremisten besonders betroffenen Minderheiten. Der pakistanische Staat vermag nicht oder nur gänzlich unzu­länglich vor der Gewalt extremistischer Gruppen zu schützen (E. 6). Eine Kollektivverfolgung liegt jedoch nicht vor (E. 7.2).</w:t>
      </w:r>
    </w:p>
    <w:p>
      <w:r>
        <w:rPr>
          <w:b/>
        </w:rPr>
        <w:t>E. 5.5</w:t>
      </w:r>
    </w:p>
    <w:p>
      <w:r>
        <w:t>Im Weiteren ist das Vorliegen einer individuellen Verfolgung des Beschwerdeführers, welche zur Anerkennung der Flüchtlingseigenschaft führen würde, zu verneinen. Unbestrittenermassen wurden einzelne Familienmitglieder des Beschwerdeführers Opfer von Gewalt. Indessen ergibt sich aus den Angaben des Beschwerdeführers, dass sie diese im Zusammenhang mit ihrer ausgeübten Funktion, etwa als Polizist oder Fahrer des UNHCR-Chefs in B.______, erlitten haben, weshalb sich aus der verwandtschaftlichen Nähe des Beschwerdeführers noch keine begründete Furcht vor künftiger Verfolgung ergibt, zumal sich der Beschwerdeführer nach eigenen Angaben seit geraumer Zeit selbst nicht mehr politisch betätigt hat. Was das weitere Vorbringen des Beschwerdeführers betrifft, wegen der Aktivitäten seines jüngeren Bruders G._______, Präsident der Schia Konferenz in Belutschistan, auf der "hit list" der Sepah Sahab aufgeführt zu sein, ist festzuhalten, dass der Beschwerdeführer nach eigenen Angaben dort seit Jahren aufgeführt ist, ohne dass er Opfer von Behelligungen geworden wäre. Die Einschätzung einer fehlenden Gefährdungssituation wird durch die weitere Tatsache, dass der Beschwerdeführer von den offenbar in unmittelbarer Nähe seines Hauses lebenden Fundamentalisten abgesehen von verbalen Drohungen keinen weiteren Behelligungen erfahren musste, bekräftigt. An der Einschätzung der fehlenden Gefährdungssituation vermögen die - sowohl im vorinstanzlichen Verfahren als auch auf Beschwerdeebene eingereichten - Beweismittel nichts zu ändern, da sie lediglich die geltend gemachten Vorbringen stützen, deren Glaubhaftigkeit nicht in Frage gestellt wurde. Was das mit der Beschwerde eingereichte Bestätigungsschreiben eines Mitglieds des "Provincial Assembly Balochistan" vom 9. November 2015 betrifft, so ergeben sich aus diesem keine konkreten Anhaltspunkte für eine aktuelle Gefährdungssituation des Beschwerdeführers, wird doch darin lediglich ohne weitere Angaben pauschal festgehalten, der Beschwerdeführer befinde sich seit seiner Jugend in Gefahr, Opfer von Terroristen zu werden. Auch die Argumente in der Beschwerde, welche überwiegend aus einer Wiederholung der im vor­instanzlichen Verfahren geltend gemachten Vorbringen und allgemeinen Ausführungen bestehen, sind nicht geeignet, die zu bestätigende vorinstanzliche Einschätzung der fehlenden begründeten Furcht vor künftiger Verfolgung in Frage zu stellen.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7.Aus diesen Erwägungen ergibt sich, dass die angefochtene Verfügung Bundesrecht nicht verletzt und den rechtserheblichen Sachverhalt richtig sowie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