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D-7431/2008 vom 8. April 2010</w:t>
      </w:r>
    </w:p>
    <w:p>
      <w:r>
        <w:t>Bundesverwaltungsgericht, 2010-04-08, DE</w:t>
      </w:r>
    </w:p>
    <w:p>
      <w:r>
        <w:rPr>
          <w:b/>
        </w:rPr>
        <w:t xml:space="preserve">Quelle: </w:t>
      </w:r>
      <w:r>
        <w:t>https://mcp.opencaselaw.ch/entscheid/bvger_D-7431_2008</w:t>
      </w:r>
    </w:p>
    <w:p>
      <w:r>
        <w:t>FR: TAF D-7431/2008 du 8 avril 2010</w:t>
      </w:r>
    </w:p>
    <w:p>
      <w:r>
        <w:t>IT: TAF D-7431/2008 del 8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(Art. 7 AsylG). Entscheidend ist, ob eine Gesamtwürdigung der Vorbringen ergibt, dass die Gründe, die für die Richtigkeit der Sachverhaltsdarstellung sprechen, überwiegen oder nicht (vgl. Entscheidungen und Mitteilungen der Schweizerischen Asylrekurskommission [EMARK] 2004 Nr. 1 E. 5 S. 4 ff., mit weiteren Hinweisen).</w:t>
      </w:r>
    </w:p>
    <w:p>
      <w:r>
        <w:rPr>
          <w:b/>
        </w:rPr>
        <w:t>E. 4.1</w:t>
      </w:r>
    </w:p>
    <w:p>
      <w:r>
        <w:t>Das BFM erachtete die Vorbringen des Beschwerdeführers, wonach sein Vater - ein für Menschenopfer verantwortlicher "(...)-"Priester - ihm mit dem Tod gedroht habe, als er entdeckt habe, dass sein Sohn die Bibel lese, und ihn in der Folge wiederholt spirituell heimgesucht habe, was für ihn derart belastend gewesen sei, dass er sich nicht mehr unter Kontrolle gehabt habe, als den Anforderungen an die Flüchtlingseigenschaft gemäss Art. 3 AsylG nicht genügend. Dieser Einschätzung ist beizupflichten.</w:t>
      </w:r>
    </w:p>
    <w:p>
      <w:r>
        <w:rPr>
          <w:b/>
        </w:rPr>
        <w:t>E. 4.2</w:t>
      </w:r>
    </w:p>
    <w:p>
      <w:r>
        <w:t>Der Beschwerdeführer vermochte - ungeachtet der Frage der Glaubhaftigkeit seiner Vorbringen - keine asylrechtlich relevante Verfolgung zu begründen. Er machte Übergriffe beziehungsweise Drohungen seitens seines Vaters geltend. Eine Verfolgung durch nichtstaatliche Akteure kann zwar grundsätzlich flüchtlingsrechtlich relevant sein, diese würde aber - auf Grund der Subsidiarität des flüchtlingsrechtlichen Schutzes - voraussetzen, dass es der betroffenen Person nicht möglich ist, im Heimatland davor Schutz zu finden. Der Schutz ist dann als ausreichend zu qualifizieren, wenn die betroffene Person effektiv Zugang zu einer funktionierenden Infrastruktur hat und ihr deren Inanspruchnahme zumutbar ist, wobei von einem Staat nicht erwartet werden kann, dass er jederzeit präventiv in alle Lebensbereiche seiner Bürger eingreifen kann. Ist kein ausreichender Schutz möglich, setzt die Anerkennung der Flüchtlingseigenschaft zudem voraus, dass die betroffene Person einer landesweiten Verfolgung ausgesetzt ist und sich nicht in einem anderen Teil ihres Heimatstaates in Schutz bringen kann (vgl. EMARK 2006 Nr. 18). Vorliegend ist von einem adäquaten staatlichen Schutz für den Beschwerdeführer auszugehen. Todesdrohungen, tätliche Übergriffe (wobei es laut Berichtigung in der Beschwerdeschrift zu keinen tätlichen Angriffen seitens des Vaters auf den Beschwerdeführer gekommen sei) und die mit Orakeln verbundenen Praktiken wie Menschenopfer sind in Nigeria nicht geduldet und werden entsprechend strafrechtlich geahndet. Es gibt denn auch keine Anhaltspunkte dafür, dass der Heimatstaat des Beschwerdeführers nicht in der Lage oder nicht willens wäre, dem Beschwerdeführer adäquaten Schutz vor Übergriffen Dritter zu gewähren. Der Beschwerdeführer hat es jedoch unterlassen, die zuständigen Behörden in Nigeria um entsprechenden Schutz zu ersuchen. Der pauschale Einwand, der nigerianische Staat könne ihn vor Übergriffen nicht schützen, vermag nicht zu überzeugen. Dass er die Todesdrohungen seitens seines Vaters nicht zur Anzeige gebracht und die Behörden aufgrund mangelnden Vertrauens seinerseits nicht um Schutz ersucht hat, kann nicht zur Annahme führen, ihm stünde kein Schutz zu. Da vom behördlichen Schutzwillen und der Schutzfähigkeit auf dem gesamten Staatsgebiet auszugehen ist, erübrigt sich grundsätzlich die nähere Prüfung der Frage einer innerstaatlichen Fluchtalternative. Die Tatsache, dass der Beschwerdeführer sein Elternhaus gegen Ende 2004 (vgl. A1 S. 5) beziehungsweise im Jahr 2005 (vgl. A13 S. 12) verlassen hat und in den folgenden Jahren bis zur Ausreise aus Nigeria am 13. Januar 2008 Zuflucht bei seiner Religionslehrerin respektive in Kirchen in H._______ gefunden hat, zeigt jedoch bereits, dass er über eine innerstaatliche Fluchtalternative verfügte. Schliesslich vermag auch der geltend gemachte Ausschluss des Beschwerdeführers aus der Gesellschaft seines Heimatdorfes beziehungsweise aus der religiösen Gemeinschaft seines Vaters aus religiösen Gründen den Anforderungen an eine asylrelevante begründete Verfolgung im Sinne von Art. 3 AsylG nicht zu genügen.</w:t>
      </w:r>
    </w:p>
    <w:p>
      <w:r>
        <w:rPr>
          <w:b/>
        </w:rPr>
        <w:t>E. 4.3</w:t>
      </w:r>
    </w:p>
    <w:p>
      <w:r>
        <w:t>Der Beschwerdeführer erfüllt damit die Flüchtlingseigenschaft gemäss Art. 3 AsylG nicht, weshalb das Bundesamt das Asylgesuch zu Recht abgelehnt hat. Bei dieser Sachlage erübrigt es sich, auf die in der angefochtenen Verfügung aufgezeigten Unglaubhaftigkeitselemente in den Schilderungen des Beschwerdeführers und die diesbezüglichen Entgegnungen in der Beschwerdeschrift und die weiteren dortigen Vorbringen näher einzugehen.</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verfügte Wegweisung steht im Einklang mit den gesetzlichen Bestimmungen und wurde demnach vom BFM zu Recht angeordnet (vgl.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asylbeachtlich relevante Gefährdung nachzuweisen, kann das in Art. 5 AsylG verankerte Prinzip des flüchtlingsrechtlichen Rückschiebungsverbots nicht zur Anwendung gelangen. Der Vollzug der Wegweisung nach Nigeria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EMARK 2001 Nr. 16 S. 122). Dies ist vorliegend nicht der Fall. Auch die allgemeine Menschenrechtssituation in Nigeria lässt den Wegweisungsvollzug zum heutigen Zeitpunkt nicht als unzulässig erscheinen.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In Nigeria herrscht keine Situation allgemeiner Gewalt oder kriegerischer Auseinandersetzungen, aufgrund derer die Bevölkerung konkret gefährdet wäre. In den von blutigen Zusammenstössen begleiteten Präsidentschaftswahlen von Ende April 2007 trat der siegreiche Kandidat der Regierungspartei "People's Democratic Party" (PDP), Umaru Yar'Adua, sein Amt am 29. Mai 2007 an und bot der Opposition eine Beteiligung an der nationalen Einheitsregierung an. Er bezeichnete die Bekämpfung von Korruption und Armut sowie die Einigung des in ethnischer und religiöser Hinsicht zersplitterten Landes als wichtigste Ziele. Zwar ist es auch in den vergangenen Monaten in verschiedenen Teilen des Landes - insbesondere im Niger-Delta und im Nordosten Nigerias - zu blutigen Auseinandersetzungen zwischen paramilitärisch organisierten Banden und Sicherheitskräften beziehungsweise zwischen Angehörigen verschiedener ethnischer und religiöser Bevölkerungsgruppen gekommen, dennoch kann im jetzigen Zeitpunkt nicht von Krieg, Bürgerkrieg oder von einer Situation allgemeiner Gewalt, die für den Beschwerdeführer bei der Rückkehr in sein Heimatland eine konkrete Gefahr darstellen würde, gesprochen werden.</w:t>
      </w:r>
    </w:p>
    <w:p>
      <w:r>
        <w:rPr>
          <w:b/>
        </w:rPr>
        <w:t>E. 6.2.2</w:t>
      </w:r>
    </w:p>
    <w:p>
      <w:r>
        <w:t>In den Akten finden sich auch keine konkreten Anhaltspunkte dafür, dass der Beschwerdeführer aus individuellen Gründen wirtschaftlicher, sozialer oder gesundheitlicher Natur in eine existenzbedrohende Situation geraten würde. Der nunmehr volljährige, ledige und kinderlose Beschwerdeführer, der sich gemäss eigenen Angaben gegenwärtig gesundheitlich wohl fühle und keine medizinische oder psychologische Hilfe benötige, hat bis zu seiner Ausreise im Januar 2008 in Nigeria gelebt und ist somit mit den dortigen Verhältnissen bestens vertraut. (Ausführungen zu Schulbildung und Sprachkenntnissen). Zudem existiert im Heimatland ein soziales Beziehungsnetz, das ihm vor der Ausreise bereits während mehrerer Jahre Zuflucht und Unterstützung geboten hat. Im Übrigen ist es dem Beschwerdeführer auch zuzumuten, sich an einem anderen Ort als bei seinem Vater im Heimatdorf - beispielsweise in H._______, wo er bereits die letzten Jahre vor der Ausreise verbracht habe - niederzulassen. Insgesamt ist nicht davon auszugehen, der Beschwerdeführer würde bei einer Rückkehr in eine seine Existenz vernichtende Situation geraten, die als konkrete Gefährdung im Sinne der zu beachtenden Bestimmungen zu werten wäre (Art. 83 Abs. 4 AuG).</w:t>
      </w:r>
    </w:p>
    <w:p>
      <w:r>
        <w:rPr>
          <w:b/>
        </w:rPr>
        <w:t>E. 6.2.3</w:t>
      </w:r>
    </w:p>
    <w:p>
      <w:r>
        <w:t>Der Vollzug der Wegweisung erweist sich daher sowohl in genereller als auch in individueller Hinsicht als zumutbar.</w:t>
      </w:r>
    </w:p>
    <w:p>
      <w:r>
        <w:rPr>
          <w:b/>
        </w:rPr>
        <w:t>E. 6.3</w:t>
      </w:r>
    </w:p>
    <w:p>
      <w:r>
        <w:t>Schliesslich obliegt es dem Beschwerdeführer, bei der Beschaffung gültiger Reisepapiere mitzuwirken (Art. 8 Abs. 4 AsylG), weshalb der Vollzug der Wegweisung auch als möglich zu bezeichnen ist (Art. 83 Abs. 2 AuG).</w:t>
      </w:r>
    </w:p>
    <w:p>
      <w:r>
        <w:rPr>
          <w:b/>
        </w:rPr>
        <w:t>E. 6.4</w:t>
      </w:r>
    </w:p>
    <w:p>
      <w:r>
        <w:t>Insgesamt ist der durch die Vorinstanz verfügte Wegweisungsvollzug zu bestätigen. Das BFM hat diesen zu Recht als zulässig, zumutbar und möglich erachtet.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wären dessen Kosten grundsätzlich dem Beschwerdeführer aufzuerlegen (Art. 63 Abs. 1 und 5 VwVG). Da die Beschwerde jedoch im Zeitpunkt ihrer Einreichung nicht als aussichtslos betrachtet werden konnte und der Beschwerdeführer nach wie vor keiner Erwerbstätigkeit nachgeht, sind in Gutheissung des Gesuchs um Gewährung der unentgeltlichen Rechtspflege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