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D-7428/2015 vom 15. Dezember 2015</w:t>
      </w:r>
    </w:p>
    <w:p>
      <w:r>
        <w:t>Bundesverwaltungsgericht, 2015-12-15, DE</w:t>
      </w:r>
    </w:p>
    <w:p>
      <w:r>
        <w:rPr>
          <w:b/>
        </w:rPr>
        <w:t xml:space="preserve">Quelle: </w:t>
      </w:r>
      <w:r>
        <w:t>https://mcp.opencaselaw.ch/entscheid/bvger_D-7428_2015</w:t>
      </w:r>
    </w:p>
    <w:p>
      <w:r>
        <w:t>FR: TAF D-7428/2015 du 15 décembre 2015</w:t>
      </w:r>
    </w:p>
    <w:p>
      <w:r>
        <w:t>IT: TAF D-7428/2015 del 15 dicembre 2015</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Richter Martin Zoller hat das Bestehen eines Ausstandsgrundes bestritten.</w:t>
      </w:r>
    </w:p>
    <w:p>
      <w:r>
        <w:rPr>
          <w:b/>
        </w:rPr>
        <w:t>E. 1.3</w:t>
      </w:r>
    </w:p>
    <w:p>
      <w:r>
        <w:t>Will eine Partei den Ausstand einer Gerichtsperson verlangen, so hat sie dem Gericht ein schriftliches Begehren einzureichen, sobald sie vom Ausstandsgrund Kenntnis erhalten hat (Art. 36 Abs. 1 BGG [erster Satz]). In der Gesuchseingabe vom 17. November 2015 wird auf die von Richter Martin Zoller erlassene Verfügung vom 2. November 2015 abgestellt. Das Ausstandsbegehren erfolgte in der zu beachtenden Form sowie innert nützlicher Frist, nämlich innert zwei Wochen nach Eröffnung der erwähnten Zwischenverfügung. Der Gesuchsteller ist im Beschwerdeverfahren D-6802/2015 Partei und damit zur Einreichung des Ausstandsbegehrens legitimiert. Damit sind die formellen Anforderungen an ein Ausstandsbegehren erfüllt, weshalb auf das Gesuch einzutreten ist.</w:t>
      </w:r>
    </w:p>
    <w:p>
      <w:r>
        <w:rPr>
          <w:b/>
        </w:rPr>
        <w:t>E. 2.1</w:t>
      </w:r>
    </w:p>
    <w:p>
      <w:r>
        <w:t>Die Ausstandsregelung von Art. 34 ff. BGG gewährleistet den in Art. 30 Abs. 1 BV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BGG aufgezählten Gründen, welche zu einem Ausstand führen, kommt keiner der in Art. 34 Abs. 1 Bst. a - d BGG erwähnten Spezialtatbestände in Frage, sondern einzig die Auffangbestimmung von Art. 34 Abs. 1 Bst. e BGG, auf welche sich der Gesuchsteller denn auch ausdrücklich beruft.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2. Auflage, Basel 2011, Art. 34, N. 16 und 17).</w:t>
      </w:r>
    </w:p>
    <w:p>
      <w:r>
        <w:rPr>
          <w:b/>
        </w:rPr>
        <w:t>E. 2.3</w:t>
      </w:r>
    </w:p>
    <w:p>
      <w:r>
        <w:t>Unter den Anwendungsbereich von Art. 34 Abs. 1 Bst. e BGG fällt unter anderem auch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Entscheidungen und Mitteilungen der Schweizerischen Asylrekurskommission [EMARK] 2003 Nr. 26 E. 3a-f).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w:t>
      </w:r>
    </w:p>
    <w:p>
      <w:r>
        <w:rPr>
          <w:b/>
        </w:rPr>
        <w:t>E. 2.4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3.1</w:t>
      </w:r>
    </w:p>
    <w:p>
      <w:r>
        <w:t>Der Gesuchsteller macht in seiner Eingabe im Wesentlichen geltend, das Gesuch um Gewährung der unentgeltlichen Rechtspflege im Sinne von Art. 65 Abs. 1 VwVG i.V.m. Art. 110a AsylG hätte im Rahmen der Zwischenverfügung vom 2. November 2015 vom zuständigen Instruktionsrichter nicht abgewiesen werden dürfen, da seine Beschwerdevorbringen aufgrund der Aktenlage keinesfalls aussichtslos seien. Auf die in der Beschwerdeschrift geltend gemachten offensichtlichen Rechtsmängel (klar falsche Rechtsanwendung einer Gesetzesbestimmung und Missachtung einer jahrelangen Rechtspraxis) werde in der Zwischenverfügung mit keinem Wort eingegangen. Diese krasse Diskrepanz stelle eine schwere Missachtung richterlicher Pflichten dar. Befangene Richter und Richterinnen stünden im Verdacht, aufgrund bewusster oder unbewusster Festlegungen nicht mehr richtig zuhören zu können oder zu wollen. Dies sei vorliegend der Fall, weshalb die Offenheit des Verfahrens erheblich gefährdet sei. Dies insbesondere auch, weil es hinsichtlich der Asylgewährung von Flüchtlingen aus Eritrea grossen politischen und medialen Druck auszuhalten gelte.</w:t>
      </w:r>
    </w:p>
    <w:p>
      <w:r>
        <w:rPr>
          <w:b/>
        </w:rPr>
        <w:t>E. 3.2</w:t>
      </w:r>
    </w:p>
    <w:p>
      <w:r>
        <w:t>Aufgrund der vorliegenden Aktenlage vermögen diese Ausführungen nicht zu überzeugen. Zunächst ist festzustellen, dass - wie bereits erwähnt - selbst eine unzutreffende Wahrnehmung der Akten durch den zuständigen Instruktionsrichter und daraus folgend eine allenfalls unsachgemässe Beurteilung der Frage der mutmasslichen Aussichtslosigkeit der Beschwerde keinen Ausstandsgrund darstellen würde. Ein richterlicher Verfahrensfehler oder ein falscher Entscheid in der Sache genügen nicht,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 Aus der Wahl der sprachlichen Formulierungen in der Zwischenverfügung vom 2. November 2015 ergeben sich vorliegend keine Hinweise darauf, dass der zuständige Instruktionsrichter nicht einer objektiven Abwägung der Gewinn- und Verlustchancen gefolgt wäre. Die Überprüfung der Erfolgsaussichten einer Beschwerde ex ante erfolgt stets vorläufig; ebenso wenig wie bei der Anordnung vorsorglicher Massnahmen ist der Richter oder die Richterin an seine respektive ihre Hauptprognose gebunden (vgl. zum Ganzen auch BGE 131 I 113). Dem Entscheid über die Gewährung der unentgeltlichen Rechtspflege kommt somit kein präjudizieller Charakter zu. Die Erwägungen in der Zwischenverfügung vom 2. November 2015 sind hinreichend offen formuliert. Es ist nicht zu erkennen, dass Richter Martin Zoller im Rahmen des Hauptverfahrens nicht gewillt sein sollte, sich nach einlässlicher Prüfung der Sache, mit den vom Gesuchsteller eingebrachten Beschwerdevorbringen vertieft auseinanderzusetzen und seine Position als Folge einer vertieften Würdigung der gesamten Aktenlage gegebenenfalls zu revidieren. Dass der Gesuchsteller beziehungsweise seine Rechtsvertreterin diese rechtliche Würdigung nicht teilen, sondern die Beschwerde im Gegenteil als aussichtsreich erachten, vermag daran nichts zu ändern, liegt doch die Beurteilung der Prozesschancen im konkreten Einzelfall in der Kompetenz des der Sache zugeteilten Instruktionsrichters. Es ist ferner aus den Akten nicht zu ersehen, dass sich Richter Martin Zoller bei der Beurteilung der Erfolgsaussichten der Beschwerde vom 2. November 2015 von sachfremden Motiven hätte leiten lassen.</w:t>
      </w:r>
    </w:p>
    <w:p>
      <w:r>
        <w:rPr>
          <w:b/>
        </w:rPr>
        <w:t>E. 3.3</w:t>
      </w:r>
    </w:p>
    <w:p>
      <w:r>
        <w:t>Auch von einer krassen Fehlbeurteilung kann vorliegend nicht gesprochen werden. Daran vermag auch nichts zu ändern, dass die Erwägungen des Instruktionsrichters augenscheinlich der rechtlichen Einschätzung des Gesuchstellers zuwiderlaufen. Die Frage der Asylrelevanz der Vorbringen des Gesuchstellers bildet vorliegend Prozessgegenstand, mithin auch offensteht, ob der Instruktionsrichter nach einer einlässlichen Auseinandersetzung mit der Sache zu einer anderen Einschätzung gelangen wird. Auch steht es dem Gesuchsteller frei, seine Vorbringen (bspw. zu den Bedingungen seiner angeblichen Haft etc.) weiter zu substantiieren (vgl. hierzu auch Art. 32 Abs. 2 VwVG). Insgesamt vermag der Gesuchsteller nicht darzulegen, inwiefern es sich bei der momentanen Einschätzung des Instruktionsrichters zur Aussichtslosigkeit der Beschwerde um eine krasse Fehlbeurteilung in grober Missachtung der richterlichen Pflichten handle. Wie die einzelnen Sachverhaltselemente nach einlässlicher Auseinandersetzung mit den Akten zu würdigen sein werden, bleibt jedoch dem Hauptverfahren vorbehalten.</w:t>
      </w:r>
    </w:p>
    <w:p>
      <w:r>
        <w:rPr>
          <w:b/>
        </w:rPr>
        <w:t>E. 4</w:t>
      </w:r>
    </w:p>
    <w:p>
      <w:r>
        <w:t>Nach vorstehenden Erwägungen sind keine objektiven Gründe ersicht­lich gemacht, welche im Verfahren D-6802/2015 für eine Befangenheit von Richter Martin Zoller sprechen würden. Bei dieser Sachlage ist das Ausstandsbegehren abzuweisen. Die Akten sind nach Abschluss des vorliegenden Verfahrens zur Weiterführung des Verfahrens D-6802/2015 an den zuständigen Instruktionsrichter zu überweisen.</w:t>
      </w:r>
    </w:p>
    <w:p>
      <w:r>
        <w:rPr>
          <w:b/>
        </w:rPr>
        <w:t>E. 5.1</w:t>
      </w:r>
    </w:p>
    <w:p>
      <w:r>
        <w:t>Der Gesuchsteller ersucht im vorliegenden Ausstandsverfahren um Gewährung der unentgeltlichen Rechtspflege (gemäss Art. 65 Abs. 1 und Abs. 2 VwVG). Vor dem Hintergrund der vorstehenden Erwägungen muss die Sache jedoch als aussichtslos bezeichnet werden, weshalb das Gesuch abzuweisen ist.</w:t>
      </w:r>
    </w:p>
    <w:p>
      <w:r>
        <w:rPr>
          <w:b/>
        </w:rPr>
        <w:t>E. 5.2</w:t>
      </w:r>
    </w:p>
    <w:p>
      <w:r>
        <w:t>Dem Gesuchsteller sind bei dieser Sachlage die Kosten des Verfahrens aufzuerlegen (Art. 63 Abs. 1 VwVG; Art. 1-3 des Reglements vom 21. Februar 2008 über die Kosten und Entschädigungen vor dem Bundesverwaltungsgericht [VGKE, SR 173.320.2]). Gestützt auf Art. 2 Abs. 3 VGKE wird die Gerichtsgebühr im vorliegenden wenig aufwändigen Verfahren auf Fr. 200.- herabgesetzt.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