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D-7420/2008 vom 21. Januar 2010</w:t>
      </w:r>
    </w:p>
    <w:p>
      <w:r>
        <w:t>Bundesverwaltungsgericht, 2010-01-21, FR</w:t>
      </w:r>
    </w:p>
    <w:p>
      <w:r>
        <w:rPr>
          <w:b/>
        </w:rPr>
        <w:t xml:space="preserve">Quelle: </w:t>
      </w:r>
      <w:r>
        <w:t>https://mcp.opencaselaw.ch/entscheid/bvger_D-7420_2008</w:t>
      </w:r>
    </w:p>
    <w:p>
      <w:r>
        <w:t>FR: TAF D-7420/2008 du 21 janvier 2010</w:t>
      </w:r>
    </w:p>
    <w:p>
      <w:r>
        <w:t>IT: TAF D-7420/2008 del 21 gennaio 2010</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Les décisions rendues par l'ODM concernant l'asile et le renvoi peuvent, en particulier, être contestées devant le Tribunal, qui statue de manière définitive sur les recours formulés à leur encontre (art. 105 en relation avec l'art. 6a al. 1 LAsi, art. 33 let. d LTAF et art. 83 let. d ch. 1 de la loi fédérale du 17 juin 2005 sur le Tribunal fédéral [LTF, RS 173.110] ; Arrêts du Tribunal administratif fédéral suisse [ATAF] 2007/7 consid. 1.1 p. 57).</w:t>
      </w:r>
    </w:p>
    <w:p>
      <w:r>
        <w:rPr>
          <w:b/>
        </w:rPr>
        <w:t>E. 1.2</w:t>
      </w:r>
    </w:p>
    <w:p>
      <w:r>
        <w:t>Les recourants ont qualité pour recourir (art. 48 al. 1 PA, applicable par renvoi de l'art. 37 LTAF) et leur mandataire, au bénéfice d'une procuration écrite, les représente légitimement. Interjeté dans la forme (art. 52 PA) et le délai (art. 108 al. 1 LAsi)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du 18 avril 1999 (Cst., RS 101). L'autorité administrative n'est toutefois tenue de s'en saisir qu'à certaines conditions. Tel est le cas, selon la jurisprudence et la doctrine, lorsque le requérant invoque l'un des motifs de révision prévus par l'art. 66 PA - en particulier faits nouveaux importants ou moyens de preuves nouveaux qui n'avaient pas pu être invoqués dans la procédure ordinaire - (« demande de réexamen qualifiée ») ou lorsque les circonstances (de fait ou de droit) se sont modifiées dans une mesure notable depuis le prononcé au fond, en première instance ou sur recours, clôturant la procédure ordinaire (« demande d'adaptation »). Dans ces hypothèses, la demande de réexamen doit être considérée comme un moyen de droit extraordinaire (ATF 127 I 133 consid. 6, ATF 124 II 1 consid. 3a et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Selon la doctrine et la jurisprudence en matière de révision, applicable par analogie en matière de réexamen (cf. concernant la forme de la demande, JICRA 2003 n° 17 consid. 2c p. 104 ; BEERLI-BONORAND, op. cit., p. 173), les faits nouveaux et preuves nouvelles au sens de l'art. 66 PA ne peuvent entraîner la révision - respectivement le réexamen - que s'ils sont importants, c'est-à-dire de nature à influer - ensuite d'une appréciation juridique correcte - sur l'issue de la contestation ; cela suppose, en d'autres termes, que les faits nouveaux soient décisifs et que les moyens de preuve offerts soient propres à les établir (ATF 127 V 353 consid. 5b, ATF 121 IV 317 consid. 1a et ATF 108 V 170 consid. 1 ; JICRA 2002 n° 13 consid. 5a p. 113s., JICRA 1995 n° 21 consid. 3a p. 207, JICRA 1995 n° 9 consid. 5 p. 80s. et JICRA 1994 n° 27 consid. 5 p. 198ss ; AUGUST MÄCHLER, in Kommentar zum Bundesgesetz über das Verwaltungsverfahren [VwVG], Zurich et Saint-Gall 2008, n. 18 ad art. 66 PA, p. 862 ; HÄFELIN / MÜLLER / UHLMANN, op. cit., n. 1833, p. 392).</w:t>
      </w:r>
    </w:p>
    <w:p>
      <w:r>
        <w:rPr>
          <w:b/>
        </w:rPr>
        <w:t>E. 2.3</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Häfelin / Müller / Uhlmann, op. cit., n. 1833, p. 392 ; Kölz / Häner, op. cit., p. 160 ; René Rhinow / Heinrich Koller / Christina Kiss-Peter, Öffentliches Prozessrecht und Grundzüge des Justizverfassungsrechts des Bundes, Bâle/Francfort-sur-le-Main 1994, p. 12s).</w:t>
      </w:r>
    </w:p>
    <w:p>
      <w:r>
        <w:rPr>
          <w:b/>
        </w:rPr>
        <w:t>E. 3.1</w:t>
      </w:r>
    </w:p>
    <w:p>
      <w:r>
        <w:t>En l'espèce, les intéressés, dans leur demande de réexamen, ont fait valoir une modification notable de circonstances survenue après l'arrêt du Tribunal du 4 août 2008 mettant fin à la procédure ordinaire. L'ODM, par décision du 20 octobre 2008, a rejeté la demande de reconsidération des intéressés dans la mesure où elle était recevable, considérant l'absence de faits nouveaux importants - en lien avec l'état de santé des intéressés - postérieurement à l'arrêt susmentionné du Tribunal. Dans leur recours du 20 novembre 2008, les intéressés font valoir, en se fondant sur plusieurs rapports médicaux, que l'exécution de leur renvoi dans leur pays d'origine n'est pas raisonnablement exigible, au vu des infrastructures insuffisances dans ce pays et de la gravité des troubles dont trois membres de la famille souffrent. Ainsi, un renvoi les mettrait non seulement personnellement gravement en danger, mais également leurs enfants, dès lors qu'accaparés par leurs propre souffrances, ils ne réussiraient pas à leur donner les soins et l'attention essentiels à leur développement. En outre, le recourant fait valoir que, ses crises le rendant inapte au travail, il ne pourrait subvenir aux besoins de sa famille et que son épouse ne trouverait pas les ressources nécessaires pour pallier cette carence.</w:t>
      </w:r>
    </w:p>
    <w:p>
      <w:r>
        <w:rPr>
          <w:b/>
        </w:rPr>
        <w:t>E. 3.2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(ATAF 2009/2 consid. 9.3.2 p. 21 ; JICRA 2003 n° 24 consid. 5b p. 157s. ;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2009/2 précité ibidem ; JICRA 2003 n° 24 précitée ibidem et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précitée ibidem).</w:t>
      </w:r>
    </w:p>
    <w:p>
      <w:r>
        <w:rPr>
          <w:b/>
        </w:rPr>
        <w:t>E. 3.3</w:t>
      </w:r>
    </w:p>
    <w:p>
      <w:r>
        <w:t>Selon la jurisprudence du Tribunal relative à la Bosnie et Herzégovine, en particulier à la Fédération, toujours d'actualité, la situation est telle que les soins simples ou courants sont en règle générale accessibles dans toutes les régions de cette entité de Bosnie et Herzégovine. Par contre, il n'en va pas de même des soins plus complexes (cf. JICRA 2002 n° 12 consid. 10b p. 104 et les réf. cit.). Pour ce qui a trait aux possibilités de soins pour les personnes souffrant de troubles psychiques graves, la situation n'est toujours pas satisfaisante. Les infrastructures dans le domaine psychiatrique sont fréquemment obsolètes et mal équipées. S'agissant en particulier du suivi médical de personnes traumatisées, la situation est loin d'être optimale. Elle est même particulièrement délicate en ce qui concerne le traitement tertiaire (psychiatrie et psychologie). Il existe certes quelques institutions spécialisées disposant d'un personnel qualifié dans les plus grandes villes (Sarajevo, Tuzla, Mostar, Travnik, Zenica), où un traitement de cas lourds est en principe possible. Toutefois, ces unités médicales sont chroniquement surchargées au regard du nombre très important de personnes nécessitant de tels soins. Quant aux autres institutions d'assistances psychiques - qui se trouvent pour l'essentiel uniquement dans les régions urbaines -, elles sont souvent mal équipées pour le suivi médical de personnes traumatisées. L'aide fournie se résume en règle générale à des traitements ambulatoires de base et/ou à la prescription de médicaments, lesdites institutions étant, dans leur grande majorité, hors d'état d'offrir un traitement stationnaire. Quant à leur personnel, celui-ci n'a souvent que des connaissances insuffisantes en matière de psychotraumatologie (cf. JICRA 2002 n° 12 précitée consid.10c p. 105 et les réf. cit.). En conclusion, pour les personnes souffrant de troubles psychiques - en particulier d'ordre traumatique - d'une telle intensité qu'elles ont impérativement besoin d'un suivi médical spécifique important et de longue durée, les possibilités de traitement sont actuellement aléatoires (cf. JICRA 2002 n° 12 précitée ibidem).</w:t>
      </w:r>
    </w:p>
    <w:p>
      <w:r>
        <w:rPr>
          <w:b/>
        </w:rPr>
        <w:t>E. 3.4</w:t>
      </w:r>
    </w:p>
    <w:p>
      <w:r>
        <w:t>En l'espèce, A._______ souffre d'une épilepsie pharmaco-résistante avec crises hypermotrices à prédominance nocturne, probablement d'origine congénitale et hémisphérique droite avec une bradycardie nocturne. Aucune aggravation de cette affection ne ressort des rapports médicaux. A l'époque de la procédure ordinaire, les médicaments prescrits, Lactimal et Topamax, non disponibles en Bosnie et Herzégovine, avaient été jugés partiellement inefficaces par les médecins spécialistes. Actuellement, d'autres médecins spécialistes estiment que ces deux médicaments sont les seuls qui ont prouvé une certaine efficacité (cf. rapport de la doctoresse [...] du 14 juillet 2009) et qu'une interruption de ce traitement risquerait d'augmenter la fréquence et la sévérité des crises épileptiques, avec possible évolution vers un état de mal épileptique pouvant avoir une issue fatale (cf. rapport du docteur [...] du 17 octobre 2009). Cela étant, la question de savoir si ces appréciations diffèrent grandement de celles qui avaient prévalu au cours de la procédure ordinaire peut demeurer ouverte pour des motifs qui seront examinés plus bas.</w:t>
      </w:r>
    </w:p>
    <w:p>
      <w:r>
        <w:rPr>
          <w:b/>
        </w:rPr>
        <w:t>E. 3.5</w:t>
      </w:r>
    </w:p>
    <w:p>
      <w:r>
        <w:t>Au plan psychique, selon un rapport médical établi par le docteur (...) (...), le 25 septembre 2008, l'intéressé a été admis dans cet établissement - du 19 août 2008 au 23 septembre 2008 - en raison d'un risque hétéro-agressif et d'une suspicion de décompensation psychotique. S'y ajoute le fait que le patient souffrait d'un trouble dépressif sévère avec symptômes psychotiques (F32.3) et de fugue dissociative (F44.1). En outre, l'intéressé a connu à cette époque des hallucinations visuelles qui pourraient être mises en lien avec un trouble dépressif sévère avec des symptômes psychotiques et, durant son hospitalisation, il a présenté une amnésie dissociative et une errance de quatre heures en ville. Le recourant a depuis lors produit un rapport de la doctoresse (...) du 11 février 2009 et un rapport signé de la doctoresse (...) (cheffe de clinique au [...]) daté du 10 novembre 2009. Conformément aux avis de ces spécialistes, dont les diagnostics sont plus précis et mieux motivés que ceux du médecin généraliste (...), il présente un trouble de l'adaptation avec réaction mixte anxieuse et dépressive prolongée (F43.22), réactionnel à l'annonce de son renvoi et à l'incertitude de sa situation actuelle, ainsi qu'une personnalité anxieuse (F60.6), voire une personnalité dépendante (F60.7). La symptomatologie actuelle est en grande partie similaire à celle existant durant la procédure ordinaire (notamment perturbation de l'attention et de la concentration, troubles du sommeil, fatigue chronique ou permanente, anxiété) ; elle apparaît toutefois avoir connu une aggravation en intensité (avec notamment l'apparition d'une irritabilité permanente et d'oublis fréquents), la fragilité psychique - permanente - de l'intéressé s'étant accrue à la suite de sa décompensation du mois d'août 2008. Depuis lors, un traitement médicamenteux a été introduit sous forme de Cipralex (antidépresseur) et de Temesta (anxiolytique). Cela étant, ici aussi, la question de savoir si ces nouvelles circonstances d'ordre médical sont à elle seules de nature à justifier le réexamen de la première décision de l'ODM dans le sens d'une admission provisoire peut demeurer ouverte, pour les motifs qui suivent.</w:t>
      </w:r>
    </w:p>
    <w:p>
      <w:r>
        <w:rPr>
          <w:b/>
        </w:rPr>
        <w:t>E. 3.6</w:t>
      </w:r>
    </w:p>
    <w:p>
      <w:r>
        <w:t>En effet, en cas de renvoi, le recourant, partiellement incapable de travail et fragile psychiquement, ne pourrait pas compter sur un soutien suffisant de la part de son épouse, laquelle serait mise concrètement en danger, de même que leurs enfants. Les troubles et la fragilité de celle-ci et de leur fils constituent des faits nouveaux, qui n'apparaissaient pas lors de la procédure ordinaire. S'agissant de la recourante, il ressort en particulier des derniers rapports médicaux produits qu'elle souffre de troubles psychiques sérieux, à savoir d'un état de stress post-traumatique (F43.1), d'un trouble dépressif récurrent (F33.2) et d'un trouble anxieux (F41.9), avec parent à domicile nécessitant des soins (Z63.6) et autres événements difficiles ayant une incidence sur la famille et le foyer (Z63.7), diagnostics en grande partie liés aux difficultés de la situation actuelle de sa famille. Les symptômes de l'intéressée sont une reviviscence d'événements traumatisants, des troubles du sommeil, une anxiété importante, une tristesse, et il existe un risque élevé de décompensation grave en cas de renvoi, voire un risque suicidaire. Son traitement consiste actuellement en des entretiens psychothérapeutiques hebdomadaires. Il en découle qu'elle est incapable de soutenir seule, tant moralement que financièrement, sa famille, ses ressources psychiques apparaissant actuellement limitées. Quant à son fils C._______, les diagnostics consistent en des troubles mixtes des conduites et troubles émotionnels (F92), un trouble de l'adaptation avec perturbation mixte des émotions et des conduites (F43.25), d'autres difficultés liées à l'entourage immédiat, y compris la situation familiale (Z63), parent à domicile nécessitant des soins (Z63.6), ainsi que d'autres événements difficiles ayant une incidence sur la famille et le foyer (Z63.7). Les rapports médicaux indiquent que l'enfant, suivi à raison d'entretiens psychothérapeutiques chaque deux semaines, présente des troubles du comportement et des symptômes de la lignée dépressive, pouvant s'aggraver de manière significative dans un contexte de renvoi imminent en Bosnie, vu sa fragilité, sa « parentification » et les problèmes de santé psychique et somatique que présentent ses parents.</w:t>
      </w:r>
    </w:p>
    <w:p>
      <w:r>
        <w:rPr>
          <w:b/>
        </w:rPr>
        <w:t>E. 3.7</w:t>
      </w:r>
    </w:p>
    <w:p>
      <w:r>
        <w:t>En regard de ces nouvelles circonstances, il faut désormais retenir que la famille A._______ risque l'effondrement durable de son équilibre actuellement précaire et que, dans une telle hypothèse, les parents et leur fils se retrouveraient chacun dans un état psychique grave, qui entraînerait un dénuement au retour en Bosnie et Herzégovine. En particulier, vu la gravité de leurs affections respectives et la nécessité de traitements conséquents, l'accès à des soins suffisants en Bosnie et Herzégovine n'apparaît plus garanti, qui plus est en cas de décompensation, et les époux A._______ se verraient confrontés à d'insurmontables difficultés pour trouver un logement et un emploi leur permettant de subvenir aux besoins de la famille. A cet égard, on ne saurait, dans ce cas tout particulier, raisonnablement attendre de l'épouse - en charge d'un enfant d'une année et demie et atteinte psychiquement - qu'elle cherche un travail qui permettrait au couple de faire face aux charges courantes et de financer la partie des traitements médicaux non couverte par l'assurance maladie bosniaque, ce à quoi s'ajoute que le fils aîné est fragilisé dans sa santé psychique. Dès lors, force est de constater que les circonstances de fait se sont modifiées dans une mesure notable, depuis le prononcé de la décision du Tribunal du 4 août 2008. La pesée des intérêts en présence fait prévaloir l'aspect humanitaire sur l'intérêt public à l'exécution du renvoi. En conséquence, l'exécution du renvoi des recourants n'est plus raisonnablement exigible.</w:t>
      </w:r>
    </w:p>
    <w:p>
      <w:r>
        <w:rPr>
          <w:b/>
        </w:rPr>
        <w:t>E. 3.8</w:t>
      </w:r>
    </w:p>
    <w:p>
      <w:r>
        <w:t>C'est pourquoi, au vu de l'ensemble des conditions particulières du cas d'espèce, le recours doit être admis et la décision attaquée annulée. L'autorité de première instance est dès lors invitée à réexaminer sa décision du 22 septembre 2003 dans le sens des considérants et à régler les conditions de résidence en Suisse de la famille requérante conformément aux dispositions régissant l'admission provisoire.</w:t>
      </w:r>
    </w:p>
    <w:p>
      <w:r>
        <w:rPr>
          <w:b/>
        </w:rPr>
        <w:t>E. 4.1</w:t>
      </w:r>
    </w:p>
    <w:p>
      <w:r>
        <w:t>Vu l'issue de la cause, il n'y a pas lieu de percevoir des frais de procédure (cf. art. 63 al. 1 et 2 PA).</w:t>
      </w:r>
    </w:p>
    <w:p>
      <w:r>
        <w:rPr>
          <w:b/>
        </w:rPr>
        <w:t>E. 4.2</w:t>
      </w:r>
    </w:p>
    <w:p>
      <w:r>
        <w:t>Conformément aux art. 64 PA et 7 al. 1 et 2 du règlement du 21 février 2008 concernant les frais, dépens et indemnités fixés par le Tribunal administratif fédéral (FITAF, RS 173.320.2), les recourants, qui ont eu gain de cause, ont droit à des dépens pour les frais nécessaires causés par le litige. En l'absence de décompte de prestations, le Tribunal fixe, ex aequo et bono, l'indemnité due à ce titre à Fr. 1'000.--, compte tenu de la complexité de la cause et du fait que seuls les frais indispensables entrent en ligne de compte.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