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D-7419/2009 vom 1. Dezember 2009</w:t>
      </w:r>
    </w:p>
    <w:p>
      <w:r>
        <w:t>Bundesverwaltungsgericht, 2009-12-01, DE</w:t>
      </w:r>
    </w:p>
    <w:p>
      <w:r>
        <w:rPr>
          <w:b/>
        </w:rPr>
        <w:t xml:space="preserve">Quelle: </w:t>
      </w:r>
      <w:r>
        <w:t>https://mcp.opencaselaw.ch/entscheid/bvger_D-7419_2009</w:t>
      </w:r>
    </w:p>
    <w:p>
      <w:r>
        <w:t>FR: TAF D-7419/2009 du 1 décembre 2009</w:t>
      </w:r>
    </w:p>
    <w:p>
      <w:r>
        <w:t>IT: TAF D-7419/2009 del 1 dicembre 2009</w:t>
      </w:r>
    </w:p>
    <w:p>
      <w:pPr>
        <w:pStyle w:val="Heading2"/>
      </w:pPr>
      <w:r>
        <w:t>Regeste</w:t>
      </w:r>
    </w:p>
    <w:p>
      <w:r>
        <w:t>Nichteintreten auf Asylgesuch und Wegweisung (Dublin-Verfahren)","Haftüberprüfung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Verfügungen, die gestützt auf das AsylG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1.3</w:t>
      </w:r>
    </w:p>
    <w:p>
      <w:r>
        <w:t>Die Beschwerde ist frist- und formgerecht eingereicht. Der Beschwerdeführer ist durch die angefochtene Verfügung besonders berührt und hat ein schutzwürdiges Interesse an deren Aufhebung. Er ist damit zur Einreichung der Beschwerde legitimiert (Art. 108 Abs. 2 AsylG, Art. 6 AsylG i.V.m. Art. 48 Abs. 1 und Art. 52 VwVG). Auf die Beschwerde ist einzutreten.</w:t>
      </w:r>
    </w:p>
    <w:p>
      <w:r>
        <w:rPr>
          <w:b/>
        </w:rPr>
        <w:t>E. 2.1</w:t>
      </w:r>
    </w:p>
    <w:p>
      <w:r>
        <w:t>Über offensichtlich begründete Beschwerden wird in einzelrichterlicher Zuständigkeit mit Zustimmung eines zweiten Richters oder einer zweiten Richterin entschieden (Art. 111 Bst. e AsylG). Wie nachfolgend aufgezeigt wird, handelt es sich im vorliegenden Fall um eine solche, weshalb der Beschwerdeentscheid nur summarisch zu begründen ist (Art. 111a Abs. 2 AsylG). Über Beschwerden gegen die Anordnung der Haft nach Art. 76 Abs. 1 Bst. b Ziff. 5 AuG entscheidet der Einzelrichter (Art. 111 Bst. d AsylG).</w:t>
      </w:r>
    </w:p>
    <w:p>
      <w:r>
        <w:rPr>
          <w:b/>
        </w:rPr>
        <w:t>E. 2.2</w:t>
      </w:r>
    </w:p>
    <w:p>
      <w:r>
        <w:t>Gestützt auf Art. 111a Abs. 1 AsylG wird auf einen Schriftenwechsel verzichtet.</w:t>
      </w:r>
    </w:p>
    <w:p>
      <w:r>
        <w:rPr>
          <w:b/>
        </w:rPr>
        <w:t>E. 3</w:t>
      </w:r>
    </w:p>
    <w:p>
      <w:r>
        <w:t>Im vorliegenden Fall besteht Anlass zur Frage, ob die Vorinstanz im Rahmen der angefochtenen Verfügung ihren Pflichten hinreichend nachgekommen ist, die sich aus dem Anspruch des Beschwerdeführers auf rechtliches Gehör ergeben.</w:t>
      </w:r>
    </w:p>
    <w:p>
      <w:r>
        <w:rPr>
          <w:b/>
        </w:rPr>
        <w:t>E. 3.1.1</w:t>
      </w:r>
    </w:p>
    <w:p>
      <w:r>
        <w:t>Der Anspruch auf rechtliches Gehör wird durch Art. 29-33 VwVG konkretisiert. Danach umfasst der Anspruch auf rechtliches Gehör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in Gestalt von Art. 29 Abs. 2 der Bundesverfassung der Schweizerischen Eidgenossenschaft vom 18. April 1999 (BV, SR 101) ergeben.</w:t>
      </w:r>
    </w:p>
    <w:p>
      <w:r>
        <w:rPr>
          <w:b/>
        </w:rPr>
        <w:t>E. 3.1.2</w:t>
      </w:r>
    </w:p>
    <w:p>
      <w:r>
        <w:t>Der mit Grundrechtsqualität ausgestattete Grundsatz des rechtlichen Gehörs im Sinne von Art. 29 Abs. 2 BV umfasst unbestrittenermassen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Häfelin/Georg Müller/Felix Uhlmann, Allgemeines Verwaltungsrecht, 5. Aufl., Zürich/ Basel/Genf/St. Gallen 2006, S. 360 ff.; Alfred Kölz/Isabelle Häner, Verwaltungsverfahren und Verwaltungsrechtspflege des Bundes, 2. Aufl., Zürich 1998, S. 46, 107 ff.; Markus Schefer, Grundrechte in der Schweiz, Bern 2005, S. 285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grundsätzliche Pflicht der Behörden, ihren Entscheid zu begründen (BGE 123 I 31 E. 2c; vgl. etwa Auer/Malinverni/ Hottelier, a.a.O., S. 611 ff.; Reinhold Hotz, St. Galler Kommentar zu Art. 29 BV, Rz. 34 ff.; Kölz/Häner, a.a.O., S. 119; Schefer, a.a.O., S. 300 ff.).</w:t>
      </w:r>
    </w:p>
    <w:p>
      <w:r>
        <w:rPr>
          <w:b/>
        </w:rPr>
        <w:t>E. 3.2</w:t>
      </w:r>
    </w:p>
    <w:p>
      <w:r>
        <w:t>Es ist festzustellen, dass der angefochtene Entscheid des BFM diesen Kriterien offensichtlich nicht gerecht wird. Zwar wurde dem Beschwerdeführer anlässlich der Befragung im G._______ vom 1. September 2009 das Recht gewährt, sich zur Ansicht des Bundesamts zu äussern, für die Durchführung des Asylverfahrens sei Rumänien zuständig, zumal er am 6. Juli 2009 in Rumänien daktyloskopiert worden sei und dort ein Asylgesuch eingereicht habe. Insofern kam das BFM der Bestimmung von Art. 36 Abs. 2 AsylG nach. Indessen wird das Recht auf vorgängige Anhörung durch die Pflicht der Behörde ergänzt, die Äusserungen des Betroffenen tatsächlich zur Kenntnis zu nehmen und sich damit in der Entscheidfindung und -begründung sachgerecht auseinanderzusetzen (Patrick Sutter, in: Christoph Auer, Markus Müller, Benjamin Schindler [Hrsg.], Kommentar zum Bundesgesetz über das Verwaltungsverfahren (VwVG), Zürich/St. Gallen 2008, Art. 30, N 5; vgl. ausserdem Patrick Sutter, ebd., Art. 32 N 2). In der angefochtenen Verfügung wird zwar festgehalten, dem Beschwerdeführer sei am 1. September 2009 das rechtliche Gehör gewährt worden. Indessen wird weder erwähnt, dass der Beschwerdeführer mit Eingabe seines Rechtsvertreters an das BFM vom 30. September 2009 diverse Anträge - so insbesondere auch prozessualer Natur (u.a. Erstellung eines Foltergutachtens, vorbehaltene Edierung der rumänischen Asylakten, falls dort ein Asylverfahren durchgeführt worden sei) - stellte, noch wird ausgeführt, wie er sich dabei äusserte, noch wird auf seine entsprechenden Vorbringen eingegangen. Zu erwähnen ist dabei, dass sich der Beschwerdeführer in seiner Eingabe vom 30. September 2009 ausdrücklich dazu äusserte, weshalb er mit einer allfälligen Ausschaffung nach Rumänien nicht einverstanden sei. Weiter erkundigte sich der Beschwerdeführer mit Schreiben vom 14. Oktober 2009 - unter Hinweis auf seine Eingabe vom 30. September 2009 - über den Verlauf des vorgesehenen Verfahrens. Auch zu dieser Eingabe liess sich die Vorinstanz weder im Verlaufe des vorinstanzlichen Verfahrens noch im Rahmen der angefochtenen Verfügung vernehmen. Auffallend ist zudem, dass die Eingabe des Beschwerdeführers vom 30. September 2009 im vorinstanzlichen Aktenverzeichnis als "Vollmacht RV per Fax" und "Vollmacht RV Original" aufgeführt ist, was darauf hinweist, dass das BFM den Inhalt dieser Eingabe offensichtlich nur teilweise zur Kenntnis nahm. Das Schreiben des Beschwerdeführers vom 14. Oktober 2009 ist überdies im Aktenverzeichnis nicht enthalten. Somit ist offenkundig, dass das BFM seine Pflicht zur Berücksichtigung der Vorbringen (und Anträge) des Beschwerdeführers nicht wahrgenommen und somit dessen Anspruch auf rechtliches Gehör verletzt hat.</w:t>
      </w:r>
    </w:p>
    <w:p>
      <w:r>
        <w:rPr>
          <w:b/>
        </w:rPr>
        <w:t>E. 3.3</w:t>
      </w:r>
    </w:p>
    <w:p>
      <w:r>
        <w:t>Nach dem Gesagten ist die Beschwerde insofern gutzuheissen, als damit die Aufhebung der angefochtenen Verfügung beantragt wird, und die Sache ist zur erneuten Beurteilung an die Vorinstanz zurückzuweisen. Unter diesen Umständen erübrigt es sich, auf die weiteren Rechtsbegehren und Vorbringen in der Beschwerdeschrift näher einzugehen. Die Aufhebung der angefochtenen Verfügung bedeutet auch, dass der Beschwerdeführer aus der Ausschaffungshaft zu entlassen ist, da deren Voraussetzungen nicht mehr bestehen (vgl. Art. 76 Abs. 1 Bst. b Ziff. 5 AuG).</w:t>
      </w:r>
    </w:p>
    <w:p>
      <w:r>
        <w:rPr>
          <w:b/>
        </w:rPr>
        <w:t>E. 4.1</w:t>
      </w:r>
    </w:p>
    <w:p>
      <w:r>
        <w:t>Bei diesem Ausgang des Verfahrens sind keine Kosten zu erheben (Art. 63 Abs. 3 VwVG i.V.m. Art. 37 VGG).</w:t>
      </w:r>
    </w:p>
    <w:p>
      <w:r>
        <w:rPr>
          <w:b/>
        </w:rPr>
        <w:t>E. 4.2</w:t>
      </w:r>
    </w:p>
    <w:p>
      <w:r>
        <w:t>Gemäss Art. 64 Abs. 1 VwVG i.V.m. Art. 37 VGG kann der ganz oder teilweise obsiegenden Partei von Amtes wegen oder auf Begehren eine Entschädigung für die ihr erwachsenen notwendigen und verhältnismässig hohen Kosten zugesprochen werden (vgl. für die Grundsätze der Bemessung der Parteientschädigung ausserdem Art. 7 ff. des Reglements vom 21. Februar 2008 über die Kosten und Entschädigungen vor dem Bundesverwaltungsgericht [VGKE, SR 173.320.2]). Seitens des Rechtsvertreters des Beschwerdeführers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dem Beschwerdeführer Fr. 600.-- (inkl. Auslagen und Mehrwertsteuer) als Parteientschädigung zuzusprechen.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