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D-7412/2015 vom 23. April 2018</w:t>
      </w:r>
    </w:p>
    <w:p>
      <w:r>
        <w:t>Bundesverwaltungsgericht, 2018-04-23, DE</w:t>
      </w:r>
    </w:p>
    <w:p>
      <w:r>
        <w:rPr>
          <w:b/>
        </w:rPr>
        <w:t xml:space="preserve">Quelle: </w:t>
      </w:r>
      <w:r>
        <w:t>https://mcp.opencaselaw.ch/entscheid/bvger_D-7412_2015</w:t>
      </w:r>
    </w:p>
    <w:p>
      <w:r>
        <w:t>FR: TAF D-7412/2015 du 23 avril 2018</w:t>
      </w:r>
    </w:p>
    <w:p>
      <w:r>
        <w:t>IT: TAF D-7412/2015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3.2</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Eine bloss entfernte Möglichkeit künftiger Verfolgung genügt nicht; es müssen hinreichende Anhaltspunkte für eine konkrete Bedrohung vorhanden sein, welche den Eintritt der erwarteten Benachteiligung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insbesondere eine Vorverfolgung, und das Wissen um Konsequenzen in vergleichbaren Fällen zu ergänzen (vgl. BVGE 2011/51 E. 6.2, 2010/57 E. 2.5, 2010/44 E. 3.4 S. 620 f.). Massgeblich für die Beurteilung der Flüchtlingseigenschaft ist die Situation im Zeitpunkt des Entscheids, wobei erlittene Verfolgung oder im Zeitpunkt der Ausreise bestandene begründete Furcht vor Verfolgung auf eine andauernde Gefährdung hinweisen können. Veränderungen der objektiven Situation im Heimat- oder Herkunftsstaat zwischen Ausreise und Asylentscheid sind zugunsten und zulasten der asylsuchenden Person zu berücksichtigen (vgl. BVGE 2010/57 E. 2.6, 2008/34 E. 7.1 und 2008/12 E. 5.2).</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4.1</w:t>
      </w:r>
    </w:p>
    <w:p>
      <w:r>
        <w:t>Die Vorinstanz hat die Glaubhaftigkeit der Vorbringen der Beschwerdeführenden 1 und 2 nicht bestritten und auch das Bundesverwaltungsgericht sieht keinen Anlass, diese zu bezweifeln. Das SEM erachtete indes die betreffenden Vorbringen als den Anforderungen an die Flüchtlingseigenschaft gemäss Art. 3 AsylG nicht genügend. Das Bundesverwaltungsgericht kommt nach Prüfung der Akten zum Schluss, dass dieser Einschätzung nicht gefolgt werden kann (vgl. die nachfolgenden Ausführungen unter E. 4.2 und 4.3).</w:t>
      </w:r>
    </w:p>
    <w:p>
      <w:r>
        <w:rPr>
          <w:b/>
        </w:rPr>
        <w:t>E. 4.2</w:t>
      </w:r>
    </w:p>
    <w:p>
      <w:r>
        <w:t>Aus den Akten ergibt sich, dass der Beschwerdeführer 1 durch den türkischen (...) am (...) wegen des Vorwurfs der "Übernahme einer Aufgabe in einer illegalen bewaffneten Terrororganisation" (Tatzeit: 1991-1992) zu einer Gefängnisstrafe von 22 ½ Jahren verurteilt wurde; nach Inkrafttreten einer Gesetzesrevision wurde die Strafe am (...) 2006 durch das (...) auf 15 Jahre angepasst.</w:t>
      </w:r>
    </w:p>
    <w:p>
      <w:r>
        <w:rPr>
          <w:b/>
        </w:rPr>
        <w:t>E. 4.2.1</w:t>
      </w:r>
    </w:p>
    <w:p>
      <w:r>
        <w:t>Der Beschwerdeführer 1 ist somit in der Türkei als verurteilter Straftäter registriert und angesichts des ihm zur Last gelegten Straftatbestands ist auch nicht auszuschliessen, dass ein politisches Datenblatt über ihn angelegt wurde (vgl. hierzu BVGE 2010/9 E. 5.3). Obwohl er nach der Strafverbüssung keiner Meldepflicht unterstanden habe und keine weitere Ermittlung gegen ihn eröffnet worden sei, wurde der Beschwerdeführer 1 regelmässig von der Polizei zuhause aufgesucht und verhört. Auch wenn es diesen Übergriffen anfangs an der asylbeachtlichen Intensität fehlte, geht die Einschätzung des SEM, wonach der Beschwerdeführer 1 seit der Entlassung aus dem Gefängnis keine erheblichen Nachteile erlitten habe und seine Furcht vor zukünftiger asylrelevanter Verfolgung unbegründet sei, fehl. Als fluchtauslösend hat der Beschwerdeführer 1 die polizeilichen Mitnahmen vom (...) 2010 und (...) 2010 bezeichnet, bei denen ihm mit dem Tod gedroht worden sei. Das SEM hat sich mit diesen - von ihm nicht in Abrede gestellten - zentralen Verfolgungsvorbringen nicht auseinandergesetzt. Mit dem alleinigen Verweis auf den Botschaftsbericht vom 2. September 2015, wonach gegen den Beschwerdeführer 1 nach der Haftentlassung im (...) keine neue Ermittlung eingeleitet respektive kein weiteres Verfahren eröffnet worden sei, vermag das SEM die entscheidende Frage - ob der Beschwerdeführer 1 im Rahmen der Entführungen vom (...) 2010 und (...) 2010 erhebliche Nachteile erlitten hat respektive ob er aufgrund dieser Ereignisse im Zeitpunkt der Ausreise aus der Türkei begründete Furcht vor solchen hatte - nicht zu beantworten. Die Abklärung der Botschaft untermauert vielmehr die Extralegalität des polizeilichen Vorgehens, wurde der Beschwerdeführer 1 doch nicht im Rahmen eines gegen ihn eingeleiteten Ermittlungsverfahrens, sondern unter Verletzung rechtsstaatlicher Grundsätze polizeilich aufgesucht. Mit den extralegalen Entführungen und der den Beschwerdeführer 1 einem erheblichen psychischen Druck aussetzenden Scheinhinrichtung am (...) 2010 hat das Ausmass der polizeilichen Schikanen und Nachstellungen die von Art. 3 AsylG geforderte asylbeachtliche Intensität erreicht. Die Freilassung nach der Scheinhinrichtung vom (...) 2010 kann sodann nicht dahingehend gedeutet werden, dass der Beschwerdeführer 1 im Zeitpunkt der Ausreise aus der Türkei am 31. Dezember 2010 keine begründete Furcht vor weiteren ernsthaften Übergriffen hatte, habe die Polizei doch seit seinem Untertauchen am 5. Oktober 2010 wiederholt bei seiner Ehefrau nach seinem Verbleib gefragt. Insoweit ist bezüglich der unter massiver Gewaltandrohung erfolgten Anwerbungsversuche nicht von zeitlich abgeschlossenen Übergriffen auszugehen.</w:t>
      </w:r>
    </w:p>
    <w:p>
      <w:r>
        <w:rPr>
          <w:b/>
        </w:rPr>
        <w:t>E. 4.2.2</w:t>
      </w:r>
    </w:p>
    <w:p>
      <w:r>
        <w:t>Zwar kann die Gewährung des Asyls nicht dazu dienen, einen Ausgleich für vergangenes Unrecht zu schaffen, sondern bezweckt, Schutz vor künftiger Verfolgung zu gewähren. Jedoch kann erlittene Verfolgung oder im Zeitpunkt der Ausreise bestandene begründete Furcht vor Verfolgung auf eine andauernde Gefährdung der betreffenden Person hinweisen (vgl. BVGE 2008/4 E. 5.4). Bei der Beurteilung der Frage der Aktualität der Verfolgungsfurcht des Beschwerdeführers 1 ist zu berücksichtigen, dass sich die Verhältnisse in der Türkei seit seiner Ausreise Ende 2010 keineswegs verbessert haben (vgl. dazu das Urteil des BVGer D-7523/2015 vom 12. Februar 2018 m.w.H. und die dortigen Quellenangaben): Seit dem gescheiterten Militärputsch gegen die türkische Regierung Mitte Juli 2016 und insbesondere seit der Verhängung des nach wie vor andauernden Ausnahmezustands ist vielmehr eine Eskalation bezüglich Inhaftierungen und politischen Säuberungen festzustellen. Neben Repressionen gegen mutmassliche Anhängerinnen und Anhänger von Fethullah Gülen kommt es im Rahmen von "Anti-Terror"-Massnahmen zunehmend zu Verhaftungen von Kurdinnen und Kurden, die politisch tätig sind. Es kommt aber auch zu Festnahmen von Medienschaffenden, Mitgliedern kurdischer Vereine und einfacher Sympathisanten der pro-kurdischen Parteien HDP (Halklarin Demokratik Partisi) und BDP wegen Unterstützung oder mutmasslicher Mitgliedschaft bei der PKK.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grosse Willkür und die Verhaftungen stützten sich teilweise auf fragwürdige Indizien oder Geständnisse. Wegen PKK-Verbindungen Verhaftete könnten keine fairen Verfahren erwarten und es bestehe für sie ein erhebliches Risiko, in Haft misshandelt zu werden. Angesichts dieser negativen Entwicklungen und mit Blick auf das Profil des Beschwerdeführers 1 (registrierte Verurteilung wegen PKK-Aktivitäten, langjähriger Gefängnisaufenthalt, BDP-Verbindung) ist seine Furcht vor weiteren Übergriffen durch die türkischen Behörden objektiv nachvollziehbar und als begründet im Sinne von Art. 3 Abs. 1 AsylG zu erachten.</w:t>
      </w:r>
    </w:p>
    <w:p>
      <w:r>
        <w:rPr>
          <w:b/>
        </w:rPr>
        <w:t>E. 4.2.3</w:t>
      </w:r>
    </w:p>
    <w:p>
      <w:r>
        <w:t>Nach dem Gesagten ergibt sich, dass der Beschwerdeführer 1 im Zeitpunkt der Ausreise begründete Furcht vor asylrelevanter Verfolgung hatte respektive im heutigen Zeitpunkt noch hat. Damit erfüllt er die Flüchtlingseigenschaft gemäss Art. 3 AsylG. Konkrete Hinweise auf das Vorliegen von Asylausschlussgründen im Sinne von Art. 53 AsylG liegen aufgrund der Aktenlage nicht vor. Ihm ist daher in der Schweiz Asyl zu gewähren.</w:t>
      </w:r>
    </w:p>
    <w:p>
      <w:r>
        <w:rPr>
          <w:b/>
        </w:rPr>
        <w:t>E. 4.3</w:t>
      </w:r>
    </w:p>
    <w:p>
      <w:r>
        <w:t>Weiter ist zu prüfen, ob die Beschwerdeführerin 2 die Flüchtlingseigenschaft ebenfalls originär gemäss Art. 3 AsylG erfüllt.</w:t>
      </w:r>
    </w:p>
    <w:p>
      <w:r>
        <w:rPr>
          <w:b/>
        </w:rPr>
        <w:t>E. 4.3.1</w:t>
      </w:r>
    </w:p>
    <w:p>
      <w:r>
        <w:t>Das SEM erachtete die von der Beschwerdeführerin 2 geltend gemachte Furcht vor Verfolgung durch die türkischen Behörden aufgrund ihrer mehrjährigen Tätigkeit für die PKK als nicht begründet. Der Vorinstanz ist insofern zuzustimmen, als die Beschwerdeführerin 2 im Ausreisezeitpunkt die Voraussetzungen an die Flüchtlingseigenschaft gemäss Art. 3 AsylG nicht erfüllte. Sie führte selbst an, bis dahin keiner direkten Verfolgung ausgesetzt gewesen und erst im Jahr (...) - mithin nach der Ausreise - unter Nennung ihres PKK-Codenamens und bildlicher Identifizierung bei den Behörden verraten worden zu sein.</w:t>
      </w:r>
    </w:p>
    <w:p>
      <w:r>
        <w:rPr>
          <w:b/>
        </w:rPr>
        <w:t>E. 4.3.2</w:t>
      </w:r>
    </w:p>
    <w:p>
      <w:r>
        <w:t>Bei der Beurteilung der Frage, ob die Verfolgungsfurcht im heutigen Zeitpunkt begründet ist, ist festzustellen, dass aufgrund der Aktenlage Hinweise auf eine zwischenzeitliche Enttarnung der mehrjährigen Tätigkeit der Beschwerdeführerin 2 für die PKK bestehen. Des Weiteren ist die erheblich verschärfte Gefährdungslage für Personen, denen ein Engagement für die PKK vorgeworfen wird, in Betracht zu ziehen (vgl. die diesbezüglichen, vorstehenden Ausführungen unter E. 4.2.2). In Abwägung aller Umstände gelangt das Bundesverwaltungsgericht zum Ergebnis, dass nicht mit genügender Sicherheit ausgeschlossen werden kann, dass die Beschwerdeführerin 2 bei einer heutigen Rückkehr in die Türkei mit Behelligungen und menschenrechtswidriger Behandlung rechnen müsste. Die Schwelle einer objektiv begründeten Furcht vor asylrechtlich relevanten Übergriffen seitens der türkischen Behörden ist im heutigen Zeitpunkt erreicht.</w:t>
      </w:r>
    </w:p>
    <w:p>
      <w:r>
        <w:rPr>
          <w:b/>
        </w:rPr>
        <w:t>E. 4.3.3</w:t>
      </w:r>
    </w:p>
    <w:p>
      <w:r>
        <w:t>Damit erfüllt die Beschwerdeführerin 2 die Flüchtlingseigenschaft originär gemäss Art. 3 AsylG. Konkrete Anhaltspunkte, wonach sie als asylunwürdig gemäss Art. 53 AsylG zu erachten wäre, sind aufgrund der Aktenlage nicht ersichtlich. Es ist ihr daher in der Schweiz Asyl zu gewähren.</w:t>
      </w:r>
    </w:p>
    <w:p>
      <w:r>
        <w:rPr>
          <w:b/>
        </w:rPr>
        <w:t>E. 4.4</w:t>
      </w:r>
    </w:p>
    <w:p>
      <w:r>
        <w:t>Gemäss Art. 51 Abs. 1 AsylG werden minderjährige Kinder von Flüchtlingen auch als Flüchtlinge anerkannt und erhalten Asyl, wenn keine besonderen Umstände dagegen sprechen. In casu liegen keine gegen den Einbezug der minderjährigen Kinder (die Beschwerdeführenden 3 und 4) sprechenden Umstände vor. Diese sind somit in die Flüchtlingseigenschaft und das Asyl der Eltern einzubeziehen (Art. 51 Abs. 1 AsylG).</w:t>
      </w:r>
    </w:p>
    <w:p>
      <w:r>
        <w:rPr>
          <w:b/>
        </w:rPr>
        <w:t>E. 5</w:t>
      </w:r>
    </w:p>
    <w:p>
      <w:r>
        <w:t>Nach dem Gesagten ist die Beschwerde gutzuheissen. Die angefochtene Verfügung ist aufzuheben und das SEM anzuweisen, die Beschwerdeführenden 1 und 2 gemäss Art. 3 AsylG als Flüchtlinge anzuerkennen, ihnen in der Schweiz Asyl zu gewähren und die Beschwerdeführenden 3 und 4 gemäss Art. 51 Abs. 1 AsylG in die Flüchtlingseigenschaft und das Asyl der Eltern einzubeziehen.</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im Zusammenhang mit dem Beschwerdeverfahren notwendigerweise erwachsenen Parteikosten zuzusprechen. Seitens der Rechtsvertretung wurde eine vom 12. Januar 2017 datierende Kostennote eingereicht. Der Rechtsvertreter machte darin einen Aufwand von 12 Stunden, einen Stundenansatz von Fr. 220.- und Auslagen von Fr. 73.30 (zzgl. 8% Mehrwertsteuer) geltend. Da sich der Aufwand für die weitere Korrespondenz zuverlässig abschätzen lässt, wird auf die Nachreichung einer ergänzten Kostennote verzichtet (Art. 14 Abs. 2 VGKE). Gestützt auf die in Betracht zu ziehenden Bemessungsfaktoren (Art. 9-13 VGKE) und unter Berücksichtigung des in der Kostennote vom 12. Januar 2017 aufgeführten Aufwands für nach dem 12. Januar 2017 anfallende "Nacharbeiten" ist den Beschwerdeführenden zulasten des SEM eine Parteientschädigung von insgesamt Fr. 3000.-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