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D-73/2023 vom 29. März 2023</w:t>
      </w:r>
    </w:p>
    <w:p>
      <w:r>
        <w:t>Bundesverwaltungsgericht, 2023-03-29, DE</w:t>
      </w:r>
    </w:p>
    <w:p>
      <w:r>
        <w:rPr>
          <w:b/>
        </w:rPr>
        <w:t xml:space="preserve">Quelle: </w:t>
      </w:r>
      <w:r>
        <w:t>https://mcp.opencaselaw.ch/entscheid/bvger_D-73_2023</w:t>
      </w:r>
    </w:p>
    <w:p>
      <w:r>
        <w:t>FR: TAF D-73/2023 du 29 mars 2023</w:t>
      </w:r>
    </w:p>
    <w:p>
      <w:r>
        <w:t>IT: TAF D-73/2023 del 29 marzo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t>D-73/2023 Seite 5</w:t>
      </w:r>
    </w:p>
    <w:p>
      <w:r>
        <w:rPr>
          <w:b/>
        </w:rPr>
        <w:t>E. 1.3</w:t>
      </w:r>
    </w:p>
    <w:p>
      <w:r>
        <w:t>Die vorliegende Beschwerde wurde allein vom Beschwerdeführer un- terzeichnet, nicht aber von dessen Ehefrau. Aus der Begründung geht in- dessen klar hervor, dass beabsichtigt wurde, den Entscheid des SEM in Bezug auf beide Beschwerdeführenden anzufechten. Die Rechtsbegehren zielen ebenfalls auf eine Zuerkennung der Flüchtlingseigenschaft sowie die Gewährung von Asyl an beide Ehepartner ab. Vor diesem Hintergrund kann davon ausgegangen werden, dass der Beschwerdeführer auch im Namen seiner Ehefrau Beschwerde erhob, zumal ihre Asylvorbringen auf demselben Sachverhalt beruhen und untrennbar miteinander verknüpft sind. Bei dieser Ausgangslage wird vorliegend auf das Einholen einer schriftlichen Erklärung der Ehefrau respektive einer Vollmacht zugunsten des Ehemannes verzichtet.</w:t>
      </w:r>
    </w:p>
    <w:p>
      <w:r>
        <w:rPr>
          <w:b/>
        </w:rPr>
        <w:t>E. 1.4</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legitimiert (Art. 105 und Art. 108 Abs. 2 AsylG; Art. 48 Abs. 1 sowie Art. 52 Abs. 1 VwVG). Die übrigen Formerfordernisse sind erfüllt und die Beschwerde ist fristgerecht eingereicht worden, weshalb darauf einzutreten ist.</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D-73/2023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seiner Verfügung aus, die Familie der Beschwerdeführerin habe zwar vorgesehen, dass sie einen anderen Mann – welchen ihr Vater vor seinem Tod für sie ausgesucht habe – heirate. Sie habe sich durch ihre Hochzeit mit dem Beschwerdeführer dieser Anwei- sung widersetzt, was indessen bis zu ihrer Ausreise im Oktober 2021 keine ernsthaften Nachteile im Sinne des Asylgesetzes nach sich gezogen habe. Weiter hätten die Beschwerdeführenden die Möglichkeit gehabt, bei den tunesischen Behörden um Schutz nachzusuchen. Es gebe in Tunesien um- fassende Gesetze zum Schutz von Frauen, welche etwa Zwangsheiraten verbieten oder Ehrenmorde kriminalisieren würden. Die Polizei schreite bei entsprechenden Vergehen ein und leite Ermittlungen ein; zudem gebe es zahlreiche staatliche Organisationen und Nichtregierungsorganisationen, welche sich für die Rechte der Frauen einsetzten. Die Beschwerdeführen- den hätten sich unterschiedlich zu den Gründen geäussert, weshalb sie keine Anzeige bei der Polizei gemacht hätten. So habe die Beschwerde- führerin erklärt, die Behörden seien korrupt und sie habe Angst vor ihrem Onkel aus Frankreich. Der Beschwerdeführer wiederum habe angegeben, er habe auf eine Versöhnung gehofft und zudem befürchtet, er könnte auf- grund der ausserehelichen Beziehung selbst angezeigt werden. Dies sei indessen als Ausflucht zu werten, zumal seine Ehefrau im Zeitpunkt der Geburt nicht mehr minderjährig gewesen sei. Vielmehr wäre es den Be- schwerdeführenden zuzumuten gewesen, sich um Schutz bei den tunesi- schen Behörden zu bemühen. Es könne auch davon ausgegangen wer- den, dass die Familie des Beschwerdeführers sie weiterhin unterstützt hätte. Der tunesische Staat sei bei einer drohenden Verfolgung wegen Ehr- verletzung oder Zwangsheirat als schutzfähig und schutzwillig einzustufen. Weiter handle es sich bei den von ihnen geltend gemachten Nachteilen um lokal oder regional beschränkte Verfolgungsmassnahmen, welchen sie sich durch einen Wegzug in einen anderen Teil ihres Heimatlandes hätten entziehen können. Die Vorbringen erwiesen sich als flüchtlingsrechtlich nicht relevant, weshalb darauf verzichtet werden könne, auf allfällige Un- glaubhaftigkeitselemente einzugehen. Sodann gebe es keine</w:t>
      </w:r>
    </w:p>
    <w:p>
      <w:r>
        <w:t>D-73/2023 Seite 7 hinreichenden Anhaltspunkte dafür, dass sie bei einer Rückkehr einer ernsthaften und konkreten Gefährdung im Sinne von Art. 3 EMRK ausge- setzt wären. Bis zur Ausreise sei ihnen nichts zugestossen, abgesehen da- von, dass sie geschlagen worden seien. Zudem lebe ihre Tochter, die eben- falls mit dem Tod bedroht worden sei, weiterhin unbehelligt in Tunesien. Sollte es dennoch zu Problemen kommen, stehe es ihnen frei, sich an die heimatlichen Behörden zu wenden. Schliesslich würden weder die allge- meine Lage noch individuelle Gründe gegen die Zumutbarkeit des Weg- weisungsvollzugs sprechen. Insbesondere liessen die von ihnen geltend gemachten gesundheitlichen Probleme nicht auf eine medizinische Not- lage schliessen und eine ausreichende medizinische Versorgung sei in Tu- nesien grundsätzlich gewährleistet.</w:t>
      </w:r>
    </w:p>
    <w:p>
      <w:r>
        <w:rPr>
          <w:b/>
        </w:rPr>
        <w:t>E. 5.2</w:t>
      </w:r>
    </w:p>
    <w:p>
      <w:r>
        <w:t>In der Beschwerdeeingabe führte der Beschwerdeführer aus, er und seine Ehefrau hätten gegenüber dem SEM glaubhaft dargelegt, weshalb sie im Heimatstaat Verfolgungsmassnahmen ausgesetzt gewesen seien. Ihre Vorbringen seien in den wesentlichen Punkten übereinstimmend und fundiert ausgefallen. Im Islam stellten aussereheliche Beziehungen eine Sünde und einen schweren Verstoss gegen religiöse Moralvorstellungen dar. Die Familie seiner Ehefrau sei in religiöser Hinsicht sehr radikal und habe nicht akzeptiert, dass sie bereits vor der Ehe eine Beziehung geführt hätten. Dies sei als Ehrverletzung betrachtet worden; überdies sei seine Frau gemäss dem Willen ihres verstorbenen Vaters einem anderen Mann versprochen gewesen. Das SEM sei der Ansicht, sie hätten sich an die tunesischen Behörden wenden müssen, welche schutzfähig und schutz- willig seien. Leider sei die Realität komplexer und es sei schwierig, effekti- ven Schutz zu erhalten. Sie hätten um ihre Sicherheit gefürchtet und mög- licherweise Repressalien zu erwarten gehabt, wenn sie sich an die Polizei gewendet hätten. Zudem sei die Korruption in Tunesien hoch. Ihr Leben sei bedroht gewesen und sie hätten sich kaum mehr getraut, ihre Wohnung zu verlassen. Folglich hätten sie schnell handeln müssen, während Verfah- ren nach einer Anzeige bei der Polizei viel Zeit in Anspruch nehmen wür- den. Darüber hinaus hätte sie dies weiter in Gefahr gebracht, da eine An- zeige den Hass seiner Schwiegerfamilie und deren Wunsch nach Rache noch erhöht hätte. Er habe sich eine Versöhnung gewünscht und gehofft, mit der Hochzeit werde sich die Sache regeln lassen, was indessen nicht der Fall gewesen sei. Nach einer Anzeige wäre eine Lösung des Konflikts erst recht nicht mehr möglich. Die vom SEM zitierten Berichte über die ju- ristische Verfolgung von Ehrenmorden würden lediglich zeigen, dass die tunesischen Behörden nicht in der Lage seien, die Opfer zu schützen, be- vor sie getötet würden. Weiter sei die Vorinstanz der Auffassung, sie hätten</w:t>
      </w:r>
    </w:p>
    <w:p>
      <w:r>
        <w:t>D-73/2023 Seite 8 in einen anderen Teil Tunesiens ziehen können. Sie hätten jedoch ver- sucht, zu seiner Tante nach E._______ zu fliehen. Dort seien sie aber nicht sicher gewesen, weil die Verwandten seiner Ehefrau ihren Aufenthaltsort in Erfahrung gebracht hätten. Dies wäre auch der Fall gewesen, wenn sie an einen anderen Ort gegangen wären. Zudem sei es schwierig, sich in Tunesien in einer Stadt niederzulassen, ohne dort Familienangehörige zu haben. Es sei ihnen auch nicht zuzumuten, stets versteckt und in Angst um ihre eigene sowie die Sicherheit ihrer Kinder zu leben. Die Flucht in ein abgelegenes tunesisches Dorf oder auf das Land sei ausser Betracht ge- fallen, da es dort keine Perspektive auf ein menschenwürdiges Leben ge- geben hätte. Ferner verfügten sie in der Heimat über kein tragfähiges Be- ziehungsnetz, zumal seine Mutter an Krebs erkrankt sei und finanzielle Probleme habe, weshalb sie von seiner Familie keine Unterstützung erwar- ten könnten. Er könne ohnehin nicht mehr bei seiner Familie leben, da er dort von der Schwiegerfamilie einfach aufgefunden werden könnte. Weiter seien sowohl er als auch seine Ehefrau gesundheitlich angeschlagen und litten seit ihrer Flucht unter posttraumatischem Stress. Sein eigener psy- chischer Zustand sei fragil und habe sich noch verschlechtert aufgrund der Aussicht, sich in Tunesien seinen Angreifern gegenüberzusehen. Zudem wäre es ihm nicht möglich, in der Heimat für seine Familie zu sorgen, und sie würden in eine prekäre Situation geraten.</w:t>
      </w:r>
    </w:p>
    <w:p>
      <w:r>
        <w:rPr>
          <w:b/>
        </w:rPr>
        <w:t>E. 6.1</w:t>
      </w:r>
    </w:p>
    <w:p>
      <w:r>
        <w:t>Bei einer Verfolgung durch Private setzt die Anerkennung der Flücht- lingseigenschaft aufgrund der Subsidiarität des flüchtlingsrechtlichen Schutzes unter anderem voraus, dass die betroffene Person in ihrem Hei- matland keinen ausreichenden Schutz vor dieser Verfolgung finden kann. Für die Feststellung der Flüchtlingseigenschaft ist demnach erforderlich, dass entweder keine funktionierende und effiziente Schutzinfrastruktur be- steht, der betreffenden Person kein Schutz gewährt wird, obwohl der Staat grundsätzlich dazu in der Lage wäre, die Schutzinfrastruktur der Person nicht zugänglich ist oder ihr deren Inanspruchnahme nicht zugemutet wer- den kann (vgl. BVGE 2011/51 E. 7).</w:t>
      </w:r>
    </w:p>
    <w:p>
      <w:r>
        <w:rPr>
          <w:b/>
        </w:rPr>
        <w:t>E. 6.2.1</w:t>
      </w:r>
    </w:p>
    <w:p>
      <w:r>
        <w:t>Die von den Beschwerdeführenden geltend gemachte Verfolgung geht von Familienangehörigen der Beschwerdeführerin und damit von Pri- vatpersonen aus. Das SEM hielt dabei zutreffend fest, dass die tunesi- schen Behörden grundsätzlich als willens und fähig anzusehen sind, gegen Verfolgungshandlungen von Privaten adäquaten Schutz zu gewähren (vgl. dazu Urteile des BVGer D-5856/2022 vom 5. Januar 2023 E. 6.3;</w:t>
      </w:r>
    </w:p>
    <w:p>
      <w:r>
        <w:t>D-73/2023 Seite 9 E-5830/2018 vom 21. August 2020 E. 7.2 und D-266/2021 vom 10. Februar 2021 S. 7).</w:t>
      </w:r>
    </w:p>
    <w:p>
      <w:r>
        <w:rPr>
          <w:b/>
        </w:rPr>
        <w:t>E. 6.2.2</w:t>
      </w:r>
    </w:p>
    <w:p>
      <w:r>
        <w:t>In ihrer Anhörung führte die Beschwerdeführerin aus, sie habe sich nicht an die Polizei gewandt, weil die Behörden korrupt seien und man sich mit Geld freikaufen könne (vgl. SEM-Akte […]-39/13 [nachfolgend Akte 39] F76). Auch der Beschwerdeführer äusserte entsprechende Befürchtungen und gab an, die tunesische Polizei würde in solchen Angelegenheiten nicht eingreifen (vgl. SEM-Akte […]-56/19 [nachfolgend Akte 56], F41 und F115). Diese pauschalen Behauptungen reichen jedoch nicht aus, um die Vermu- tung der Schutzfähigkeit respektive der Schutzwilligkeit der tunesischen Behörden umzustossen. Weiter gab der Beschwerdeführer an, dass er wohl selbst verhaftet würde und ins Gefängnis müsste aufgrund des Um- stands, dass er eine aussereheliche Beziehung eingegangen sei (vgl. Akte 56, F41 und F109 f.). Er vermochte indessen nicht darzulegen, inwiefern er damit gegen tunesisches Recht verstossen habe respektive welche Strafe er in diesem Zusammenhang zu erwarten hätte. Auf entsprechende Nachfrage erwähnte er lediglich, es sei strafbar, mit einer minderjährigen Frau von 17 Jahren ein Kind zu haben, und verwies darauf, dass der Vater eines ausserehelich gezeugten Kindes ins Gefängnis müsse (vgl. Akte 56, F111 ff.). Die Beschwerdeführerin war indessen bereits (…) Jahre alt, als ihr Kind zur Welt kam. Zudem ist nicht davon auszugehen, dass sich der Beschwerdeführer durch sein Verhalten strafbar gemacht hat und folglich damit rechnen müsste, selbst verhaftet zu werden, wenn er bei der Polizei eine Anzeige erstatten würde. Seine diesbezüglichen Befürchtungen sind denn auch äusserst vage und scheinen auf blossen Vermutungen zu ba- sieren.</w:t>
      </w:r>
    </w:p>
    <w:p>
      <w:r>
        <w:rPr>
          <w:b/>
        </w:rPr>
        <w:t>E. 6.2.3</w:t>
      </w:r>
    </w:p>
    <w:p>
      <w:r>
        <w:t>Sodann wurde in der Beschwerdeschrift ausgeführt, eine Anzeige würde die Schwiegerfamilie erst recht gegen sie aufbringen und die Situa- tion verschlimmern sowie jede Möglichkeit auf eine Versöhnung zunichte machen. Es ist jedoch festzuhalten, dass gemäss den Ausführungen der Beschwerdeführenden bereits zuvor keine Möglichkeit für eine Versöhnung bestand (vgl. Akte 39, F85 und F89; Akte 56, F120). Eigenen Angaben zu- folge hätten sie sogar befürchtet, die Verwandten der Beschwerdeführerin könnten sie töten (vgl. Akte 39, F72 f. und Akte 56, F40 S. 6 f.). Vor diesem Hintergrund ist nicht ersichtlich, inwiefern der Verzicht auf eine Anzeige die Aussicht auf eine allfällige Versöhnung hätte intakt halten können. Schliesslich wurde vorgebracht, ein entsprechendes Verfahren bräuchte Zeit und sie hätten befürchtet, jederzeit von den Verwandten angegriffen zu werden. Das SEM wies aber zu Recht darauf hin, dass die Tochter,</w:t>
      </w:r>
    </w:p>
    <w:p>
      <w:r>
        <w:t>D-73/2023 Seite 10 welcher nach Angaben der Beschwerdeführenden ebenfalls die Tötung ge- droht habe, noch immer unbehelligt in Tunesien lebt. Es ist daher nicht da- von auszugehen, dass ihnen bei einem Verbleib im Heimatstaat unmittel- bar (weitere) tätliche Angriffe oder allenfalls gar eine Tötung gedroht hät- ten. Es wäre ihnen daher zuzumuten gewesen, die tunesischen Behörden um Schutz zu ersuchen. Den Akten lassen sich keine Hinweise dafür ent- nehmen, dass diese sich weigern würden, in ihrem konkreten Fall entspre- chenden Schutz zu gewähren.</w:t>
      </w:r>
    </w:p>
    <w:p>
      <w:r>
        <w:rPr>
          <w:b/>
        </w:rPr>
        <w:t>E. 6.3</w:t>
      </w:r>
    </w:p>
    <w:p>
      <w:r>
        <w:t>Nach diesen Ausführungen geht das Bundesverwaltungsgericht davon aus, dass die tunesischen Behörden bezüglich der Beschwerdeführenden als schutzfähig und schutzwillig zu bezeichnen sind. Es erübrigt sich bei dieser Sachlage, das Vorliegen einer innerstaatlichen Flucht- beziehungs- weise Schutzalternative zu prüfen (vgl. BVGE 2011/51 E. 8.1) oder näher auf die Glaubhaftigkeit einzugehen, da die Vorbringen als flüchtlingsrecht- lich nicht relevant zu erachten sind. Das SEM hat somit zu Recht die Flücht- lingseigenschaft verneint und die Asylgesuche abgelehnt.</w:t>
      </w:r>
    </w:p>
    <w:p>
      <w:r>
        <w:rPr>
          <w:b/>
        </w:rPr>
        <w:t>E. 7</w:t>
      </w:r>
    </w:p>
    <w:p>
      <w:r>
        <w:t>Lehnt das SEM ein Asylgesuch ab oder tritt es darauf nicht ein, so verfügt es in der Regel die Wegweisung aus der Schweiz. Die Beschwerdeführen- den verfügen weder über eine ausländerrechtliche Aufenthaltsbewilligung noch über einen Anspruch auf Erteilung einer solchen (Art. 44 AsylG;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w:t>
      </w:r>
    </w:p>
    <w:p>
      <w:r>
        <w:t>D-73/2023 Seite 11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der angefochtenen Verfügung zutreffend darauf hin, dass das Prinzip des flüchtlingsrechtlichen Non-Refoulement nur Per- sonen schützt, welche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Dies ist ihnen – unter Hinweis auf die obenstehenden Erwägungen zur Flüchtlingseigenschaft – indessen nicht gelungen, da es ihnen zuzumuten wäre, sich bei den heimatlichen Behörden um Schutz vor allenfalls drohenden Übergriffen seitens der Familie der Beschwerdeführe- rin zu bemühen. Sodann lässt auch die allgemeine Menschenrechtssitua- tion im Heimatstaat den Wegweisungsvollzug zum heutigen Zeitpunkt nicht unzulässig erscheinen. Der Vollzug der Wegweisung erweist sich daher</w:t>
      </w:r>
    </w:p>
    <w:p>
      <w:r>
        <w:t>D-73/2023 Seite 12 sowohl im Sinne der asyl- als auch der völkerrechtlichen Bestimmungen als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Die Vorinstanz erachtete den Vollzug der Wegweisung zu Recht als zumutbar. Dabei ist eingangs darauf hinzuweisen, dass bei einem Wegwei- sungsvollzug nach Tunesien grundsätzlich keine besonders begünstigen- den Faktoren vorliegen müssen. Beide Beschwerdeführenden verfügen über eine gute Schulbildung und konnten erste Arbeitserfahrungen sam- meln (vgl. SEM-Akte […]-38/15, F27 ff. und F48 ff.; Akte 39, F61 ff.). Zwar haben sie zwischenzeitlich offenbar ein zweites Kind bekommen, womit sie bei einer Rückkehr für zwei kleine Kinder – die erstgeborene Tochter befin- det sich derzeit noch immer bei der Familie des Beschwerdeführers – zu sorgen haben. Es gibt jedoch keine Hinweise dafür, dass es ihnen nicht möglich wäre, eine Arbeitstätigkeit aufzunehmen und sich wirtschaftlich im Heimatstaat wieder zu integrieren. Die allgemeinen Ausführungen in der Beschwerde zu fehlenden Arbeitsperspektiven in Tunesien vermögen da- ran nichts zu ändern. Den vorliegenden medizinischen Akten lässt sich entnehmen, dass der Be- schwerdeführer im Februar 2022 unter (…) litt und medikamentös mit (…) behandelt wurde (vgl. SEM-Akte […]-41/3). Gemäss einem im Juli 2022 ausgestellten Rezept wurde ihm zudem das Medikament (…) verschrieben zur Behandlung einer Schlaf- und Angststörung (vgl. SEM-Akte […]-57/7 [nachfolgend Akte 57]). Ein aktueller Arztbericht liegt nicht vor; in der Be- schwerdeeingabe wird indessen weiterhin auf psychische Beeinträchtigun- gen hingewiesen, namentlich posttraumatischen Stress sowie Angststö- rungen. Auch die Beschwerdeführerin leide unter entsprechenden Proble- men und sei deswegen im (…) in Behandlung. Der diesbezügliche Arztbe- richt vom 7. November 2022 hält fest, die ursprüngliche Diagnose sei eine (…) gewesen, dann sei von einer (…) ausgegangen worden. Sie leide etwa unter (…). Zudem sei eine Begleitung des Paares rund um die bevorste- hende Geburt sowie die Fortsetzung der psychiatrischen Behandlung vor- gesehen (vgl. zum Ganzen Akte 57). In diesem Zusammenhang wies das</w:t>
      </w:r>
    </w:p>
    <w:p>
      <w:r>
        <w:t>D-73/2023 Seite 13 SEM zu Recht darauf hin, dass in Tunesien eine hinreichende medizinische und psychiatrische Versorgung grundsätzlich gewährleistet ist. Dies wird von den Beschwerdeführenden denn auch nicht in Frage gestellt. Das zweite Kind ist zwischenzeitlich geboren worden, wobei sich den Akten – nicht zuletzt aufgrund des Umstands, dass die Beschwerdeführenden ihren Aufenthaltsort verlassen haben – nicht entnehmen lässt, ob es dabei zu Komplikationen kam oder in der Folge weitere Behandlungen erforderlich geworden wären. Entsprechendes wurde auf Beschwerdeebene aber nicht geltend gemacht. Zudem wurde das erste Kind der Beschwerdeführenden zu früh geboren und konnte in Tunesien ohne Weiteres angemessen im Spital betreut werden (vgl. Akte 56, F11). Vor diesem Hintergrund kann an- genommen werden, dass sie allfällige notwendigen medizinischen Be- handlungen auch im Heimatstaat erhältlich machen könnten. Zudem hät- ten sie die Möglichkeit, nötigenfalls medizinische Rückkehrhilfe zu bean- tragen (Art. 93 AsylG; Art. 75 der Asylverordnung 2 über Finanzierungsfra- gen [SR 142.312]). Es ist daher nicht davon auszugehen, dass sie bei einer Rückkehr in eine existenzielle oder medizinische Notlage geraten würden. Der Vollzug der Wegweisung ist folglich als zumutbar anzusehen.</w:t>
      </w:r>
    </w:p>
    <w:p>
      <w:r>
        <w:rPr>
          <w:b/>
        </w:rPr>
        <w:t>E. 8.5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erachten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dessen Kosten den Beschwer- deführenden aufzuerlegen (Art. 63 Abs. 1 VwVG) und auf insgesamt Fr. 750.– festzusetzen (Art. 1–3 des Reglements vom 21. Februar 2008 über die Kosten und Entschädigungen vor dem Bundesverwaltungsgericht</w:t>
      </w:r>
    </w:p>
    <w:p>
      <w:r>
        <w:t>D-73/2023 Seite 14 [VGKE, SR 173.320.2]). Das Gesuch um Verzicht auf die Erhebung eines Kostenvorschusses wird mit dem vorliegenden Urteil gegenstandslos.</w:t>
      </w:r>
    </w:p>
    <w:p>
      <w:r>
        <w:rPr>
          <w:b/>
        </w:rPr>
        <w:t>E. 11</w:t>
      </w:r>
    </w:p>
    <w:p>
      <w:r>
        <w:t>Die Beschwerdeführenden sind gemäss dem Zentralen Migrationsinforma- tionssystem (ZEMIS) nach wie vor an der rubrizierten Adresse gemeldet. In der Beschwerdeeingabe vom 30. Dezember 2022 wird im Briefkopf die- selbe Adresse genannt. Demgegenüber teilte das kantonale Migrationsamt dem Gericht per E-Mail am 11. Januar 2023 mit, die Beschwerdeführenden seien bereits am 4. Dezember 2022 unkontrolliert abgereist. Bis zum heu- tigen Zeitpunkt wurde indessen keine entsprechende Verschwundenen- meldung ausgestellt. Nachdem die Beschwerdeführenden die betreffende Adresse in der Beschwerde selbst aufgeführt haben und es sich dabei um die letzte bekannte Adresse handelt, wird der vorliegende Entscheid an diese zugestellt (Art. 12 Abs. 1 AsylG).</w:t>
      </w:r>
    </w:p>
    <w:p>
      <w:r>
        <w:t>(Dispositiv nächste Seite)</w:t>
      </w:r>
    </w:p>
    <w:p>
      <w:r>
        <w:t>D-73/2023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