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D-7396/2014 vom 17. März 2015</w:t>
      </w:r>
    </w:p>
    <w:p>
      <w:r>
        <w:t>Bundesverwaltungsgericht, 2015-03-17, DE</w:t>
      </w:r>
    </w:p>
    <w:p>
      <w:r>
        <w:rPr>
          <w:b/>
        </w:rPr>
        <w:t xml:space="preserve">Quelle: </w:t>
      </w:r>
      <w:r>
        <w:t>https://mcp.opencaselaw.ch/entscheid/bvger_D-7396_2014</w:t>
      </w:r>
    </w:p>
    <w:p>
      <w:r>
        <w:t>FR: TAF D-7396/2014 du 17 mars 2015</w:t>
      </w:r>
    </w:p>
    <w:p>
      <w:r>
        <w:t>IT: TAF D-7396/2014 del 17 marzo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 ist in englischer Sprache und somit nicht in einer Amtssprache des Bundes abgefasst. Vorliegend kann jedoch aus prozessökonomischen Gründen praxisgemäss auf eine Rückweisung der Beschwerde zur Verbesserung verzichtet werden, da ihr genügend klare, sinngemässe Rechts­begehren und deren Begründung zu entnehmen sind.</w:t>
      </w:r>
    </w:p>
    <w:p>
      <w:r>
        <w:rPr>
          <w:b/>
        </w:rPr>
        <w:t>E. 1.4</w:t>
      </w:r>
    </w:p>
    <w:p>
      <w:r>
        <w:t>Die Beschwerde ist frist- und nach dem Gesagten auch formgerecht eingereicht. Die Beschwerdeführerin ist zudem gemäss Art. 48 Abs. 1 VwVG zur Beschwerde berechtigt. Auf die Beschwerde ist somit einzutreten (Art. 50 und 52 VwVG).</w:t>
      </w:r>
    </w:p>
    <w:p>
      <w:r>
        <w:rPr>
          <w:b/>
        </w:rPr>
        <w:t>E. 2.1</w:t>
      </w:r>
    </w:p>
    <w:p>
      <w:r>
        <w:t>Die in Art. 106 Abs. 1 AsylG für Asylverfahren normierte spezialgesetzliche Kognitionsbeschränkung ist für das vorliegende Verfahren nicht anwendbar, da es sich bei der Erteilung eines humanitären Visums trotz der Berührungspunkte zu asylrechtlichen Fragestellungen um eine ausländerrechtliche Materie handelt. Somit kann mit Beschwerde nebst einer Verletzung von Bundesrecht und einer unrichtigen oder unvollständigen Feststellung des rechts­erheblichen Sachverhaltes auch - sofern nicht eine kantonale Behörde als Beschwerde­in­stanz verfügt hat - die Unangemessenheit gerügt werden (Art. 49 VwVG).</w:t>
      </w:r>
    </w:p>
    <w:p>
      <w:r>
        <w:rPr>
          <w:b/>
        </w:rPr>
        <w:t>E. 2.2</w:t>
      </w:r>
    </w:p>
    <w:p>
      <w:r>
        <w:t>Die Beschwerde erweist sich als zum Vornherein unbegründet, weshalb auf die Durchführung eines Schriftenwechsels verzichtet worden ist (Art. 57 Abs. 1 VwVG e contrario).</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mit weiteren Hinweisen).</w:t>
      </w:r>
    </w:p>
    <w:p>
      <w:r>
        <w:rPr>
          <w:b/>
        </w:rPr>
        <w:t>E. 3.2</w:t>
      </w:r>
    </w:p>
    <w:p>
      <w:r>
        <w:t>Als sri-lankische Staatsangehörige kann sich die Beschwerdeführerin nicht auf die EU/EFTA-Personenfreizügigkeitsabkommen berufen. Vielmehr untersteht die Beurteilung ihres Gesuches dem Anwendungsbereich der Schengen-Assoziierungsabkommen, mit denen die Schweiz den Schen­gen-Besitzstand und die dazugehörigen gemeinschaftsrechtlichen Rechtsakte übernommen hat. Das Schengen-Recht schränkt die national­staat­lichen Befugnisse insoweit ein, als es einheitliche Voraussetzungen für Einreise beziehungsweise Visum aufstellt und die Mitgliedstaaten verpflichtet, die Einreise beziehungsweise das Visum zu verweigern, wenn die Voraussetzungen nicht erfüllt sind. Das AuG (SR 142.20) und seine Ausführungsverordnung gelangen nur soweit zur Anwendung, als die Schengen-Asso­ziie­rungsabkommen keine abweichenden Bestimmungen enthalten (Art. 2 Abs. 2-5 AuG).</w:t>
      </w:r>
    </w:p>
    <w:p>
      <w:r>
        <w:rPr>
          <w:b/>
        </w:rPr>
        <w:t>E. 3.3</w:t>
      </w:r>
    </w:p>
    <w:p>
      <w:r>
        <w:t>Angehörige von Staaten, die nicht Teil des Schengen-Raumes sind (sog.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(nachfolgend: Verordnung [EG] Nr. 539/2001).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Art. 14 Abs. 1 Bst. a-c und Art. 21 Abs. 1 Visakodex).</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Schengener Grenzkodex).</w:t>
      </w:r>
    </w:p>
    <w:p>
      <w:r>
        <w:rPr>
          <w:b/>
        </w:rPr>
        <w:t>E. 4</w:t>
      </w:r>
    </w:p>
    <w:p>
      <w:r>
        <w:t>Die Beschwerdeführerin unterliegt als sri-lankische Staatsangehörige ge­mäss Art. 1 Abs. 1 Verordnung (EG) Nr. 539/2001 in Verbindung mit Anhang I einer Visumspflicht für den Schengen-Raum. Im Beschwerdeverfahren wird jedoch nicht bestritten, dass die bereits in der angefochtenen Verfügung geprüften Voraussetzungen für die Erteilung eines solchen Schengen-Visums vorliegend nicht gegeben sind. Da die Beschwerdeführerin um Schutz vor Gefährdungen in ihrem Heimatland ersucht, ist ihre fristgerechte Ausreise aus dem Schengen-Raum offensichtlich nicht gewährleistet. Die Erteilung eines Visums mit Gültigkeit für den gesamten Schengen-Raum fällt daher nicht in Betracht. Im Folgenden ist daher einzig noch zu prüfen, ob die Vorinstanz auch zu Recht die Erteilung eines Einreisevisums in die Schweiz aus humanitären Gründen abgelehnt hat.</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5.2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Botschaft des Bundesrates vom 26. Mai 2010 zur Änderung des Asylgesetzes, BBl 2010 4455, insbesondere 4467 f., 4471 f. und 4490 f.; Weisung des SEM vom 25. Februar 2014 betreffend Visumsantrag aus humanitären Gründen [zu finden auf der Internetseite des BFM]).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w:t>
      </w:r>
    </w:p>
    <w:p>
      <w:r>
        <w:rPr>
          <w:b/>
        </w:rPr>
        <w:t>E. 6.1</w:t>
      </w:r>
    </w:p>
    <w:p>
      <w:r>
        <w:t>Die Vorinstanz qualifizierte die Beschwerdeführerin in der angefochtenen Verfügung implizit als asylunwürdig im Sinne von Art. 53 AsylG. Sie verwies dazu auf die Feststellung der Botschaft, wonach bei höheren Kadermitgliedern bei Asylgesuchen aus dem Ausland nach altem Recht regelmässig die Asylausschlussklausel nach Art. 53 AsylG zur Anwendung gekommen sei. Bezogen auf den konkreten Fall der Beschwerdeführerin führte sie sodann lediglich an, gemäss Informationen der Botschaft sei aus dem Gespräch mit der Beschwer­deführerin deutlich hervorgegangen, dass sie (die Beschwerdeführerin) ihr Engagement als LTTE-Mitglied bis heute nicht bereue und sich offensichtlich nicht von diesem Gedankengut distanziert habe.</w:t>
      </w:r>
    </w:p>
    <w:p>
      <w:r>
        <w:rPr>
          <w:b/>
        </w:rPr>
        <w:t>E. 6.2</w:t>
      </w:r>
    </w:p>
    <w:p>
      <w:r>
        <w:t>Die im Zusammenhang mit den ehemals zulässigen Asylgesuchen aus dem Ausland in BVGE 2011/10 entwickelte Rechtsprechung, wonach bei asylunwürdigen Personen eine Einreisebewilligung in die Schweiz aus­ser Betracht falle, wird von Bundesverwaltungsgericht im Bereich der Gesuche um Erteilung eines humanitären Visums zwar fortgeführt (vgl. Urteil des BVGer E-3011/2014 vom 25. Juni 2014 E. 8.1 [mit Hinweis auf zwei nicht publizierte Urteile des BVGer]). Vorliegend vermag allerdings die Qualifizierung der Beschwer­deführerin als asylunwürdig mit Hinweis auf die Erwägung 6 im soeben genannten BVGE nicht zu überzeu­gen, zumal ihr aufgrund des aktenkundigen Sachverhalts (vgl. Bst. A.b vorstehend; insbesondere fehlen genaue Angaben zur Funktion und dem Aufgabenbereich der Beschwerdeführerin bei den LTTE) nicht mit überwiegender Wahrscheinlichkeit die Begehung einer unter Art. 53 AsylG zu subsumierenden Straftat respektive eine individuelle Verantwortlichkeit für derartige Straftaten vorgeworfen werden kann. Dafür und zur Prüfung der Verhältnismässigkeit eines allfälligen Asylausschlusses wären vorliegend weitere Sach­ver­halts­ab­klä­run­gen er­forderlich. Solche erübrigen sich allerdings, da die Beschwer­de­führerin nach Ansicht des Bundesverwaltungs­gerichts - wie nach­ste­hend aufgezeigt - ohnehin keine un­mit­tel­ba­re, ernst­hafte und konkrete Gefährdung an Leib und Leben darzulegen vermochte.</w:t>
      </w:r>
    </w:p>
    <w:p>
      <w:r>
        <w:rPr>
          <w:b/>
        </w:rPr>
        <w:t>E. 7.1</w:t>
      </w:r>
    </w:p>
    <w:p>
      <w:r>
        <w:t>Das Gericht stellt die schwierigen Lebensumstände der Beschwerdeführerin als ehemaliges LTTE-Mitglied und alleinerziehende Mutter mit Behinderung in Sri Lanka nicht in Abrede. Vorliegend ergeben sich aus den Akten jedoch keine Anhaltspunkte, aufgrund derer offensichtlich davon ausgegangen werden muss, dass sie unmittelbar, ernsthaft und konkret an Leib und Leben gefährdet wäre. Die von ihr bereits im vorinstanzlichen Verfahren geltend gemachte, bis heute andauernde Überwachung und die ständigen Befragungen - sofern überhaupt glaubhaft - mögen zwar belastend sein. Sie sind allerdings in ihrer Art und Intensität nicht als unmittelbare, ernsthafte und konkrete Gefährdung an Leib und Leben zu betrachten. Auch aus dem unsubstanziierten Einsprache- und Beschwerdevorbringen der Beschwerdeführerin, sie wer­de anlässlich der Befragun­gen (zunehmend) sexuell belästigt, lässt sich nicht auf eine entsprechende Gefährdung schliessen.</w:t>
      </w:r>
    </w:p>
    <w:p>
      <w:r>
        <w:rPr>
          <w:b/>
        </w:rPr>
        <w:t>E. 7.2</w:t>
      </w:r>
    </w:p>
    <w:p>
      <w:r>
        <w:t>Die Tatsache, dass die Beschwerdeführerin bis zum heutigen Zeitpunkt weder inhaftiert noch ein Verfahren gegen sie eröffnet wurde, spricht denn auch gegen ein Verfolgungsinteresse der sri-lan­ki­schen Behörden an ihrer Person. So kann davon ausgegangen werden, dass diese die Be­schwer­de­führerin - ungeachtet der Tatsache, dass sie ein Kind hat - schon längst unter dem Prevention of Terrorism Act (PTA) festgenommen oder in ein Rehabilitationszentrum interniert hätten, wenn sie den Verdacht (gehabt) hätten, dass sie eine wichtige beziehungsweise führende Rolle innerhalb der LTTE spielte oder über wichtige Informationen betreffend die Bewegung verfügt. Angesichts dieser Annah­me erscheint es höchst unwahrscheinlich, dass ihr (zum heutigen Zeitpunkt) ein Aufenthalt in einem Rehabilitationszentrum droht. Insofern sind die von ihr erst auf Beschwerdeebene - wiederum äusserst unsubstanziiert - vorgebrachten Androhungen seitens der sri-lankischen Behörden, sie müsse in ein Rehabilitationszentrum, wenn sie nicht mit ihnen kooperiere, sofern glaubhaft, als blosse Einschüchterungen zu verstehen. Das Gleiche gilt für die von ihr geltend gemachten Todesdrohungen durch die sri-lankischen Behörden, wenn sie diesen gegenüber darauf beharre, dass ihr Ehemann tot sei.</w:t>
      </w:r>
    </w:p>
    <w:p>
      <w:r>
        <w:rPr>
          <w:b/>
        </w:rPr>
        <w:t>E. 7.3</w:t>
      </w:r>
    </w:p>
    <w:p>
      <w:r>
        <w:t>Die Beschwerdeführerin kann sodann we­der aus den mit der Beschwerde eingereichten englischen Übersetzungen von Zeitungsartikeln zur Gefährdung von ehemaligen LTTE-Kadern in Sri Lanka, welche sich nicht direkt auf sie beziehen, noch aus ihrem unsubstanziierten und unbelegten Vorbringen in der Eingabe vom 6. Januar 2015, eine ältere Fotografie von ihr sei in der Zeitung C._______ erschienen, etwas zu ihren Gun­sten ableiten.</w:t>
      </w:r>
    </w:p>
    <w:p>
      <w:r>
        <w:rPr>
          <w:b/>
        </w:rPr>
        <w:t>E. 7.4</w:t>
      </w:r>
    </w:p>
    <w:p>
      <w:r>
        <w:t>Zusammenfassend lässt sich festhalten, dass die Beschwerdeführerin nicht aufzuzeigen vermochte, inwiefern sie unmittelbar, ernsthaft und kon­kret an Leib und Leben gefährdet ist, so dass ein behördliches Eingreifen zwingend erforderlich und die Erteilung einer Einreisebewilligung gerechtfertigt wäre. An dieser Einschätzung vermögen auch die übrigen Vorbringen auf Beschwerdeebene, die ebenfalls unsubstanziiert ausgefallen sind und sich in blossen Behauptungen erschöpfen, nichts zu ändern.</w:t>
      </w:r>
    </w:p>
    <w:p>
      <w:r>
        <w:rPr>
          <w:b/>
        </w:rPr>
        <w:t>E. 8</w:t>
      </w:r>
    </w:p>
    <w:p>
      <w:r>
        <w:t>Aus diesen Erwägungen ergibt sich, dass die angefochtene Verfügung Bundesrecht nicht verletzt, den rechtserheblichen Sachverhalt richtig sowie vollständig feststellt und angemessen ist (Art. 49 VwVG). Die Beschwerde ist abzuweisen.</w:t>
      </w:r>
    </w:p>
    <w:p>
      <w:r>
        <w:rPr>
          <w:b/>
        </w:rPr>
        <w:t>E. 9</w:t>
      </w:r>
    </w:p>
    <w:p>
      <w:r>
        <w:t>Bei diesem Ausgang des Verfahrens wären die Kosten grundsätzlich der Beschwerdeführerin aufzuerlegen (Art. 63 Abs. 1 und 5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