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D-737/2010 vom 6. November 2012</w:t>
      </w:r>
    </w:p>
    <w:p>
      <w:r>
        <w:t>Bundesverwaltungsgericht, 2012-11-06, DE</w:t>
      </w:r>
    </w:p>
    <w:p>
      <w:r>
        <w:rPr>
          <w:b/>
        </w:rPr>
        <w:t xml:space="preserve">Quelle: </w:t>
      </w:r>
      <w:r>
        <w:t>https://mcp.opencaselaw.ch/entscheid/bvger_D-737_2010</w:t>
      </w:r>
    </w:p>
    <w:p>
      <w:r>
        <w:t>FR: TAF D-737/2010 du 6 novembre 2012</w:t>
      </w:r>
    </w:p>
    <w:p>
      <w:r>
        <w:t>IT: TAF D-737/2010 del 6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ablehnenden Asylentscheides führte die Vorinstanz im Wesentlichen an, die Analyse des Gutachters habe zum Schluss geführt, dass der Beschwerdeführer mit den wesentlichen Gegebenheiten seiner angeblichen Herkunftsstadt B._______ nicht vertraut sei. Seine Angaben zu B._______ würden sich nicht auf eigene Erfahrungen stützen, sondern vielmehr als angelernt erscheinen und sich auch als teilweise unzutreffend erweisen. Obwohl er geltend gemacht habe, während (...) Jahren die Schule in B._______ besucht zu haben, kenne er das dortige Schulsystem nicht. Ferner seien seine überaus bescheidenen Arabisch-Kenntnisse nicht mit seinem Vorbringen zu vereinbaren, während (...) Jahren eine Schule in arabischer Sprache besucht zu haben. Umgekehrt spreche er ein typisches Badinani-Kurdisch der Region J._______ im Nordirak. Auch weitere Angaben, etwa zu Nahrungsmitteln oder zum Geldverkehr, würden gegen seine Vertrautheit mit den diesbezüglichen Gegebenheiten in B._______ sprechen. Daraus ziehe der Sprachexperte den Schluss, dass der Beschwerdeführer mit Sicherheit nicht in B._______, sondern in einem kurdischen Milieu im Nordirak sozialisiert worden sei. Weiter sei die vom Beschwerdeführer eingereichte Identitätskarte sowohl einer amtsinternen als auch einer externen Analyse durch das Urkundenlabor der Kantonspolizei I._______ unterzogen worden, wobei das übereinstimmende Abklärungsergebnis laute, dass es sich bei dieser Identitätskarte um eine Fälschung handle. Daraus folge, dass der Beschwerdeführer offenkundig nicht seit seiner Geburt bis zu seiner Ausreise in B._______ wohnhaft gewesen sei. Vielmehr sei er in Wirklichkeit im kurdisch kontrollierten Teil des Nordiraks sozialisiert worden und wohnhaft gewesen. Aufgrund der sprachlichen Färbung des von ihm gesprochenen Badinani-Kurdisch handle es sich dabei mutmasslich um den Raum J._______ beziehungsweise F._______, wo auch Verwandte von ihm wohnhaft seien. Daraus folge wiederum, dass auch das von ihm geltend gemachte Verfolgungsvorbringen in B._______ - der Beschwerdeführer sei bei einem Selbstmordanschlag in der Stadt B._______ verletzt worden - so nicht geglaubt werden könne. An dieser Einschätzung vermöge auch seine Stellungnahme vom 5. Januar 2010 nichts zu ändern, worin er mit nicht überzeugenden Argumenten an seinen früheren Aussagen festhalte. Darüber hinaus sei nicht zu übersehen, dass die von ihm eingereichte Kopie eines angeblich am 8. Mai 2006 in B._______ ausgestellten Nationalitätenausweises bereits auf den ersten Blick gewisse Mängel aufweise. Lediglich am Rande vermerkt sei schliesslich, dass sein Vorbringen, in B._______ zufälliges Opfer eines Selbstmordanschlages gewesen zu sein, mangels Gezieltheit der Verfolgung ohnehin keine Asylrelevanz zu entfalten vermöchte, da dieses Ereignis lediglich als Ausdruck der allgemein prekären Sicherheitslage in B._______ zu würdigen wäre.</w:t>
      </w:r>
    </w:p>
    <w:p>
      <w:r>
        <w:rPr>
          <w:b/>
        </w:rPr>
        <w:t>E. 3.2</w:t>
      </w:r>
    </w:p>
    <w:p>
      <w:r>
        <w:t>Demgegenüber brachte der Beschwerdeführer auf Beschwerdeebene im Wesentlichen vor, die Beurteilung der Vorinstanz zu seiner Herkunftsregion sei widersprüchlich ausgefallen. Entgegen der vorinstanzlichen Ansicht habe er viele Informationen zur Stadt B._______ geliefert. Das BFM führe an, seine Angaben zu B._______ seien teilweise unzutreffend, weshalb mit anderen Worten seine Ausführungen auch zum Teil zutreffend seien. Weiter seien Kenntnisse über das Schulsystem in B._______ nicht relevant, da diejenigen, welche kein Interesse an Schulen oder dem Schulsystem hätten, diese Informationen ebenfalls nicht mehr besitzen würden oder einfach vergessen hätten. Zudem könne die junge kurdische Generation, welche nicht derart daran interessiert sei, die arabische Sprache zu lernen, nicht mit der alten Generation verglichen werden. Ausserdem sei die Spaltung zwischen Kurden und Arabern in B._______ sehr ausgeprägt, so dass jede Gruppe für ihre eigene Sprache und Kultur kämpfe. Die Kurden aus B._______ würden beide Dialekte sprechen, wobei es darauf ankomme, aus welchen Sprachgruppierungen diese Kurden ursprünglich stammten. Seine Angaben zu den Nahrungsmitteln seien korrekt gewesen, weil nach dem Sturz des alten Regimes die Versorgung mit Lebensmitteln einheitlich im ganzen Irak organisiert worden sei. Er halte an der Echtheit seiner Identitätskarte fest, auch wenn er kein Fachmann in diesem Zusammenhang sei und auch nicht wisse, wie die Schweizer Behörden solche Dokumente überprüften. Zum Beleg seiner Herkunft aus B._______ habe er weitere Dokumente im Original erhältlich gemacht, so seinen Nationalitätenausweis, eine Wohnsitzbescheinigung, den Geburtsschein sowie den Nationalitätenausweis seiner Mutter.</w:t>
      </w:r>
    </w:p>
    <w:p>
      <w:r>
        <w:rPr>
          <w:b/>
        </w:rPr>
        <w:t>E. 3.3</w:t>
      </w:r>
    </w:p>
    <w:p>
      <w:r>
        <w:t>In ihrer Vernehmlassung vom 4. Mai 2010 beantragte das BFM die Abweisung der Beschwerde und führt diesbezüglich an, die Beschwerdeschrift enthalte keine neuen erheblichen Tatsachen oder Beweismittel, welche eine Änderung seines Standpunktes zu rechtfertigen vermöchten. Die auf Beschwerdeebene im Original eingereichten Dokumente seien nicht geeignet, zu einer anderen Einschätzung zu führen. So würden sich die bereits früher festgestellten Mängel beim (nunmehr im Original nachgereichten) irakischen Nationalitätenausweis vollumfänglich bestätigen und es liessen sich weitere Irregularitäten in formeller Hinsicht feststellen. Auch beim Nationalitätenausweis der Mutter würden sich Ungereimtheiten hinsichtlich des aufgeführten Serienbuchstabens und des Stempeleintrags finden lassen. Beim Geburtsschein sei auffallend, dass der Beschwerdeführer bis anhin überhaupt nicht registriert gewesen sein soll, obwohl in casu davon auszugehen sei, dass eine tatsächlich im Jahre (...) im vom Saddam-Regime kontrollierten B._______ geborene Person mit Sicherheit bereits damals durch die Zivilstandsbehörden registriert und nicht erst im Jahre (...) nachträglich zivilstandsrechtlich erfasst worden wäre. Angesichts dessen würden sich weitere Bemerkungen zur Rechtsmitteleingabe erübrigen und es sei auf die Erwägungen im angefochtenen Entscheid zu verweisen, an denen vollumfänglich festgehalten werde.</w:t>
      </w:r>
    </w:p>
    <w:p>
      <w:r>
        <w:rPr>
          <w:b/>
        </w:rPr>
        <w:t>E. 4</w:t>
      </w:r>
    </w:p>
    <w:p>
      <w:r>
        <w:t>Das Bundesverwaltungsgericht kommt nach Würdigung der Akten zum Schluss, dass die Erwägungen der Vorinstanz zur fehlenden Glaubhaftigkeit der Vorbringen des Beschwerdeführers zutreffen und die Ausführungen in der Beschwerdeschrift sowie die mit dieser eingereichten Beweismittel nicht geeignet sind, die Einschätzung des BFM in einem anderen Licht erscheinen zu lassen.</w:t>
      </w:r>
    </w:p>
    <w:p>
      <w:r>
        <w:rPr>
          <w:b/>
        </w:rPr>
        <w:t>E. 4.1</w:t>
      </w:r>
    </w:p>
    <w:p>
      <w:r>
        <w:t>Vorweg ist zunächst festzustellen, dass bereits mit Zwischenverfügung vom 12. Februar 2010 festgehalten wurde, die Erwägungen des BFM dürften zu bestätigen und die auf Beschwerdeebene gemachten Einwände des Beschwerdeführers nicht geeignet sein, die Ergebnisse der Herkunftsabklärung in Frage zu stellen. Zudem sei der Einwand zur Qualität der Identitätspapiere im Irak, die dort sehr schlecht sei, nicht massgebend. Der Beschwerdeführer könne ferner aus der eingereichten Wohnsitzbestätigung nichts zu seinen Gunsten ableiten, da seine Identität nicht mit einem authentischen Reise- oder Identitätspapier im Sinne von Art. 1a Bstn. b und c der Asylverordnung 1 vom 11. August 1999 über Verfahrensfragen (AsylV 1, SR 142.311) belegt sei und daher nicht feststehe und das fragliche Dokument ohnehin nicht den Nachweis der Identität bezwecke. Der Eingang des Originals der Wohnsitzbestätigung brauche daher nicht abgewartet zu werden. Ebenso sei keine Frist zur beabsichtigten Einreichung des Originals des Nationalitätenausweises anzusetzen, da dieses Dokument gewisse Mängel aufweise. Die Begehren in der Rechtsmitteleingabe seien daher insgesamt als aussichtslos zu qualifizieren.</w:t>
      </w:r>
    </w:p>
    <w:p>
      <w:r>
        <w:rPr>
          <w:b/>
        </w:rPr>
        <w:t>E. 4.2</w:t>
      </w:r>
    </w:p>
    <w:p>
      <w:r>
        <w:t>An dieser Einschätzung ist - wie die Vorinstanz in ihrer Vernehmlassung zu Recht und mit zutreffender Begründung festhielt - auch nach Eingang der weiteren vom Beschwerdeführer auf Beschwerdeebene eingereichten Original-Beweismittel festzuhalten. Soweit das Verfahren vor der Vorinstanz betreffend legte das BFM dem Beschwerdeführer mit Schreiben vom 21. Dezember 2009 die Mängel offen, welche die eingereichte Identitätskarte aufweist, und gab ihm gleichzeitig Gelegenheit, sich dazu zu äussern. Dieser liess sich innert Frist vernehmen und hielt in allgemeiner Form fest, dass es sich beim Dokument um eine echte irakische Identitätskarte handle und er auch nicht für die festgestellten Mängel verantwortlich gemacht werden könne, da die Qualität dieser Identitätskarte ohnehin nicht dem europäischen Standard zu entsprechen vermöge. Diese Vorbringen sind jedoch in der Tat nicht stichhaltig. Es sind diesbezüglich keine Hinweise ersichtlich, welche das Bundesverwaltungsgericht zu irgendwelchen Zweifeln an den jeweiligen Abklärungsergebnissen veranlassen müssten. So wurde die fragliche Identitätskarte anhand von entsprechendem Vergleichsmaterial und mit der Fachkenntnis von Spezialisten geprüft. Der Beschwerdeführer muss sich die Dokumentenfälschung als seinem eigenen Verhalten zurechenbar entgegenhalten lassen und die sich aus der Einreichung des gefälschten Dokumentes ergebenden Konsequenzen insofern tragen, als dadurch die Glaubhaftigkeit seiner Vorbringen, im vorliegenden Fall der die Flucht unmittelbar auslösenden Ereignisse, betroffen wird. Hinsichtlich der auf Beschwerdeebene eingereichten Originaldokumente (Nationalitätenausweis, Wohnsitzbescheinigung, Geburtsschein, Nationalitätenausweis der Mutter) hat das Bundesverwaltungsgericht ebenfalls keine Veranlassung, an der Richtigkeit der vorinstanzlichen Feststellungen zu zweifeln. So erscheint es hinsichtlich der erst am 31. Januar 2010 ausgestellten Wohnsitzbescheinigung - nebst den oben in Ziffer 4.1 dargelegten diesbezüglichen Ausführungen in der Zwischenverfügung vom 12. Februar 2010 - als befremdlich, dass darin vermerkt ist, der Beschwerdeführer sei im Quartier seit über 30 Tagen wohnhaft, obwohl dieser im Juli 2007 aus seiner Heimat geflüchtet sei und sich im Zeitpunkt der Ausstellung der Bescheinigung bereits seit zweieinhalb Jahren in Westeuropa respektive in der Schweiz aufhielt und sich dieser Umstand in dieser Bescheinigung nirgends widerspiegelt. Die übrigen Dokumente vermögen ferner aufgrund der von der Vorinstanz in zutreffender Weise aufgeführten formalen Mängel, inhaltlichen Unstimmigkeiten und - im Falle des Nationalitätenausweises des Beschwerdeführers von blossem Auge erkennbaren Radierungen - keinerlei Beweiskraft zu entfalten. Aufgrund obiger Ausführungen und im Lichte der Abklärungsergebnisse sind zudem die Identitätskarte sowie der Nationalitätenausweis des Beschwerdeführers als Fälschungen zu erkennen und im Rahmen der freien Beweiswürdigung als solche zu werten (vgl. Fritz Gygi, Bundesverwal­tungsrechtspflege, 2. Aufl., Bern 1983, S. 278). Gemäss Art. 10 Abs. 4 AsylG können verfälschte und gefälschte Dokumente sowie echte Dokumente, die missbräuchlich verwendet wurden, vom Bundesamt oder von der Beschwerdeinstanz eingezogen werden. Die beiden in Frage stehenden Dokumente (Auflistung Beweismittel) sind daher vom Bundesverwaltungsgericht einzuziehen. Im Übrigen liesse sich aus den beiden Nationalitätenausweisen sowie dem Geburtsschein ohnehin nur der Schluss ziehen, dass der Beschwerdeführer und seine Mutter in B._______ geboren wurden. Die beiden Dokumente vermögen jedoch nicht den hier interessierenden Beleg zu erbringen, ob der Beschwerdeführer effektiv sein ganzes bisheriges Leben dort verbrachte und insbesondere ob er in B._______ sozialisiert wurde. Weiter überzeugen die Einwände des Beschwerdeführers zum Ergebnis der Herkunftsabklärung (fehlendes Interesse am Schulsystem; unterschiedliches Interesse an der arabischen Sprache zwischen den Generationen; ausgeprägte Spaltung zwischen Kurden und Arabern in B._______, wobei Kurden aus B._______ beide Dialekte sprechen würden; verwendete Nahrungsmittel, etc.) schon deshalb nicht, weil sie lediglich allgemeiner Natur sind, die im Auftrag des BFM durchgeführte Herkunftsanalyse jedoch gezielt die länderspezifischen Kenntnisse und sprachlichen Fähigkeiten des Beschwerdeführers beleuchtete und dem Abklärungsergebnis zufolge der Beschwerdeführer selber weder den einen noch den anderen in B._______ gesprochenen Dialekt beherrscht und auch keine rudimentären Kenntnisse seiner angeblichen Herkunftsstadt besitzt. Es ist daher mit der Vorinstanz einig zu gehen, dass der Beschwerdeführer - entgegen seinen anderslautenden Ausführungen - nicht in B._______ aufwuchs und bis zu seiner Ausreise immer dort lebte, sondern im kurdisch kontrollierten Teil des Nordiraks sozialisiert wurde, so mit einiger Wahrscheinlichkeit in der Provinz J._______, wo noch einige seiner Verwandten leben sollen (vgl. act. A1/10 S. 3, 5). Die entsprechenden Asylvorbringen, welche sich in B._______ ereignet haben sollen, sind daher als unglaubhaft - und zudem auch als asylirrelevant - zu werten.</w:t>
      </w:r>
    </w:p>
    <w:p>
      <w:r>
        <w:rPr>
          <w:b/>
        </w:rPr>
        <w:t>E. 4.3</w:t>
      </w:r>
    </w:p>
    <w:p>
      <w:r>
        <w:t>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Vorbringen in der Beschwerdeschrift und die Beweismittel weiter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Vorliegend ist auch aufgrund der angeführten Verfolgungsvorbringen in B._______ eine mögliche Verletzung von Art. 3 EMRK und damit ein zu beurteilendes Vollzugshindernis auszuschliessen, da die entsprechenden Vorbringen nicht glaubhaft sind. Es ist dem Beschwerdeführer demnach nicht gelungen, eine konkrete Gefahr im Sinne der oben erwähnten Bestimmungen glaubhaft zu machen. Im Lichte der obigen Ausführungen ist davon auszugehen, dass der Beschwerdeführer mit überwiegender Wahrscheinlichkeit aus einer der drei von der kurdischen Regionalregierung kontrollierten nordirakischen Provinzen Dohuk, Erbil und Sulaymaniya stammt. Die allgemeine Menschenrechtssituation in diesen Provinzen respektive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w:t>
      </w:r>
    </w:p>
    <w:p>
      <w:r>
        <w:rPr>
          <w:b/>
        </w:rPr>
        <w:t>E. 6.2.3</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hat sich in den publizierten - auch heute noch gültigen - Urteilen BVGE 2008/4 und BVGE 2008/5 ausführlich mit der Sicherheitslage im Nordirak auseinandergesetzt. Im zweitgenannten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6.3.3</w:t>
      </w:r>
    </w:p>
    <w:p>
      <w:r>
        <w:t>Entgegen den Ausführungen des Beschwerdeführers, gemäss welchen er aus B._______ stamme und seit Geburt bis zu seiner Ausreise immer dort gewohnt habe, ist gestützt auf die Herkunftsabklärungen und die zur Stützung der Asylvorbringen eingereichten, teilweise gefälschten und nicht beweiserheblichen (Identitäts-)Dokumente mit überwiegender Wahrscheinlichkeit von einer Herkunft aus und Sozialisierung in einer der drei kurdischen Provinzen des Nordiraks (Dohuk, Erbil, Sulaymaniya) auszugehen. Der Beschwerdeführer verfügt denn auch eigenen Angaben zufolge über etliche Verwandte in F._______ (vgl. act. A1/10 S. 3 und 6, A8/9 S. 5) und es kann daher vorliegend davon ausgegangen werden, dass sich der junge Beschwerdeführer angesichts der in der Provinz J._______ wohnhaften Verwandten, der Kenntnisse der Verhältnisse und Lebensumstände in seiner Herkunftsregion aus eigenen Kräften eine Existenzgrundlage wird erarbeiten können, ohne die damit allenfalls verbundenen Schwierigkeiten verkennen zu wollen. Dabei kann der Beschwerdeführer auch auf die (finanzielle) Unterstützung seiner Familienangehörigen zählen, zumal ihm diese schon bei der Finanzierung seiner Ausreise behilflich gewesen sei sollen (vgl. act. A1/10 S. 6). Überdies dürften Hilfeleistungen von lokal tätigen Hilfsorganisationen die Wiedereingliederung in zusätzlicher Weise unterstützen. Demnach sind, entgegen der anderslautenden Ansicht in der Beschwerdeschrift, auch keine Gründe ersichtlich, welche gegen die Zumutbarkeit eines Wegweisungsvollzugs sprechen könnten.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vgl. BVGE 2008/34 E. 12 S. 513 ff.).</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in Höhe von insgesamt Fr. 600.- dem Beschwerdeführer aufzuerlegen (Art. 63 Abs. 1 VwVG; Art. 16 Abs. 1 Bst. a VGG i.V.m. Art. 2 und 3 des Reglements vom 21. Februar 2008 über die Kosten und Entschädigungen vor dem Bundesverwaltungsgericht [VGKE, SR 173.320.2]) und mit dem am 28. Feb­ruar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