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D-737/2007 vom 4. Oktober 2010</w:t>
      </w:r>
    </w:p>
    <w:p>
      <w:r>
        <w:t>Bundesverwaltungsgericht, 2010-10-04, DE</w:t>
      </w:r>
    </w:p>
    <w:p>
      <w:r>
        <w:rPr>
          <w:b/>
        </w:rPr>
        <w:t xml:space="preserve">Quelle: </w:t>
      </w:r>
      <w:r>
        <w:t>https://mcp.opencaselaw.ch/entscheid/bvger_D-737_2007</w:t>
      </w:r>
    </w:p>
    <w:p>
      <w:r>
        <w:t>FR: TAF D-737/2007 du 4 octobre 2010</w:t>
      </w:r>
    </w:p>
    <w:p>
      <w:r>
        <w:t>IT: TAF D-737/2007 del 4 ottobre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2.1</w:t>
      </w:r>
    </w:p>
    <w:p>
      <w:r>
        <w:t>Der während des Verfahrens geborene Sohn der Beschwerdeführerin, B._______, wird in das vorliegende Beschwerdeverfahren einbezogen.</w:t>
      </w:r>
    </w:p>
    <w:p>
      <w:r>
        <w:rPr>
          <w:b/>
        </w:rPr>
        <w:t>E. 2.2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1 AsylG sowie Art. 105 AsylG i.V.m. Art. 37 VGG und 48 Abs. 1, Art. 50 und Art. 52 des Bundesgesetzes vom 20. Dezember 1968 über das Verwaltungsverfahren [VwVG, SR 172.021]). Auf die Beschwerde ist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2. Aufl.,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im angefochtenen Entscheid zum Schluss, bei den Verfolgungsvorbringen der Beschwerdeführerin handle es sich um nicht asylrelevante Übergriffe Dritter; aus den äusserst unsubstanziiert und pauschal geschilderten Drohungen und den zwei abgelehnten Visumsanträgen schloss das BFM zudem, die Beschwerdeführerin sei ausgereist, um in der Schweiz zu heiraten. Diese Auffassung ist im Ergebnis zu teilen.</w:t>
      </w:r>
    </w:p>
    <w:p>
      <w:r>
        <w:rPr>
          <w:b/>
        </w:rPr>
        <w:t>E. 4.2</w:t>
      </w:r>
    </w:p>
    <w:p>
      <w:r>
        <w:t>Zwar können Übergriffe Dritter - so sie denn stattgefunden hätten - entgegen der Ansicht der Vorinstanz durchaus dem Staat zuzurechnen und daher unter Umständen asylrelevant im Sinne von Art. 3 AsylG sein. Der Argumentation des Rechtsvertreters, die Beschwerdeführerin könne als Mitglied einer ethnischen Minderheit bei den staatlichen Behörden in Kosovo keinen Schutz erhalten, kann jedoch nicht gefolgt werden. Nach den Erkenntnissen des Bundesverwaltungsgerichts gehen die zuständigen Behörden - im Rahmen ihrer Möglichkeiten - systematisch gegen Bedrohungen und Übergriffe Dritter vor. Insoweit kann zum heutigen Zeitpunkt vom Schutzwillen und auch von einer weitgehenden Schutzfähigkeit der in Kosovo tätigen nationalen und internationalen Sicherheitsbehörden, namentlich der UNMIK, des Kosovo Police Service und der KFOR, ausgegangen werden. Diesbezüglich ist auf die Lagebeurteilung zu verweisen, welche die vormalige Schweizerische Asylrekurskommission (ARK) in EMARK 2006 Nr. 10 E. 5.4 zur allgemeinen Situation der Minderheiten in Kosovo vorgenommen hat und welche sich auch heute noch in der Quintessenz als zutreffend erweist (vgl. BVGE 2007/10). Die Beschwerdeführerin vermochte zudem nicht glaubhaft darzulegen, dass sie sich überhaupt um Schutz vor den angeblichen Drohungen bemüht hat. Anlässlich der BzP gab sie an, sich an die KFOR gewandt zu haben (A1/10 S. 5). Bei der Anhörung sagte sie in Abweichung zu den Schilderungen im EVZ, nicht die KFOR um Schutz gebeten zu haben, sondern die Polizei (A22/9 S. 3). Zu einem späteren Zeitpunkt der Anhörung gab sie an, sie sei nicht zur Polizei gegangen, sondern zur KFOR (A22/9 S. 6). Die vorinstanzlichen Ausführungen in der angefochtenen Verfügung sowie auf Vernehmlassungsstufe sind demnach nicht zu beanstanden, und die Argumentation des Rechtsvertreters, die Vorinstanz habe den Anspruch der Beschwerdeführenden auf rechtliches Gehör verletzt, indem sie die aktuelle Lage der Minderheiten nicht berücksichtigt habe (vgl. Sachverhalt Bst. M), erweist sich daher als unbegründet.</w:t>
      </w:r>
    </w:p>
    <w:p>
      <w:r>
        <w:rPr>
          <w:b/>
        </w:rPr>
        <w:t>E. 4.3</w:t>
      </w:r>
    </w:p>
    <w:p>
      <w:r>
        <w:t>Die Schilderungen der angeblichen Drohungen des ehemaligen Freundes der Beschwerdeführerin sind in der Tat derart unsubstanziiert und auch widersprüchlich ausgefallen, dass sie als unglaubhaft im Sinne von Art. 7 AsylG qualifiziert werden müssen. Zunächst ist festzuhalten, dass die Beschwerdeführerin nicht in der Lage war, angemessen detaillierte Angaben zur Beziehung zu ihrem Ex-Freund (A22/9 S. 3 f.) und seiner Familie (A22/9 S. 4) sowie den nach der Trennung angeblich einsetzenden Drohungen zu machen (A22/9 S. 5 f.). Auch ihre Erklärungsversuche, weshalb sie erst nach einer sechsmonatigen Beziehung gemerkt haben will, dass ihr Freund Albaner und nicht Bosnier sei (A22/9 S. 5), vermögen nicht zu überzeugen. Fragen nach der Häufigkeit der Drohungen beantwortete sie ungenau und widersprüchlich - in der BzP mit "oft" oder "non-stop" (A1/10 S. 5), in der Anhörung mit "mehrmals" oder "manchmal" (A22/9 S. 5). Fragen nach dem konkreten Inhalt der Drohungen vermochte sie ebenfalls nur sehr pauschal zu beantworten: "Ich hörte, dass er überall über mich spricht, er würde mir Probleme machen" (A1/10 S. 5); "Er wollte nicht, dass ich weggehe, er wolle mich heiraten, er würde mich entführen" (A1/10 S. 4); "Er hat dann angefangen, mir zu drohen und meiner Familie" (A22/9 S. 3). Im Weiteren war sie nicht in der Lage anzugeben, wann sie zum letzten Mal mit ihm gesprochen haben will und zu welchem Zeitpunkt vor ihrer Ausreise er sie zum letzten Mal bedroht haben soll (A1/10 S. 5; A22/9 S. 6). Zu den konkreten Umständen der Drohungen vermochte sie nur anzugeben, er habe einmal direkt ihr gegenüber gedroht, sie umzubringen, und mehrmals über Freunde (A22/9 S. 5). Als sie ihn das letzte Mal getroffen haben will - den Zeitpunkt vermochte sie nicht zu nennen - habe er schon gewusst, dass sie bereits einen andern Freund habe, worauf er gesagt habe, das gehe nicht, sie gehöre ihm. Sie sei dann nach Hause gegangen und habe ihn nicht mehr gesehen (A22/9 S. 6). Ihre anlässlich der BzP gemachte Aussage, sie habe sich nicht mehr im Freien bewegen können, weil er sie verfolgt habe (A1/10 S. 4), lässt sich sodann nicht mit den übrigen Schilderungen vereinbaren, aus welchen zu schliessen ist, dass die beiden sich auch nach dem angeblichen Abbruch der Beziehung im Oktober 2005 wiederholt gesehen beziehungsweise getroffen haben (A22/9 S. 5). Der von der Vorinstanz in der angefochtenen Verfügung geäusserte Verdacht, das Ausreisemotiv der Beschwerdeführerin seien nicht die Drohungen des ehemaligen Freundes gewesen, sondern die bevorstehende Heirat in der Schweiz, erweist sich sodann als offensichtlich begründet. Der Rechtsvertreter bestreitet in der Eingabe vom 20. Februar 2007 die bevorstehende Heirat seiner Mandantin als Ausreisemotiv und setzt sich damit offensichtlich in Widerspruch nicht nur zu den Aussagen der Beschwerdeführerin, sondern auch zu seinen eigenen Handlungen. Er stellte nämlich bereits am 15. Dezember 2006, mithin vier Tage nach ihrer Einreise, ein Gesuch um Zuteilung der Beschwerdeführerin an den Kanton X._______, den Wohnkanton ihres zukünftigen Ehemannes, und gab an, die beiden würden bereits im Konkubinat leben (A5/8 S. 1) Die Beschwerdeführerin selbst gab bereits in der BzP an, ihr zukünftiger Ehemann habe ihre Reise in die Schweiz finanziert (A1/10 S. 6). Am 12. Januar 2007 stellte der zukünftige Ehemann ein Gesuch um Familienzusammenführung, in dem er schrieb, er habe bereits alle erforderlichen Papiere für die Eheschliessung vorbereitet. In ihrer Beschwerdeeingabe vom 26. Januar 2007 schrieb die Beschwerdeführerin, sie wolle ihren zukünftigen Ehemann so rasch als möglich heiraten. Ihr Reisepass wurde vom Zivilstandsamt W._______ am 13. Februar 2007 im Rahmen des Ehevorbereitungsverfahrens sichergestellt (A36/4 S. 1). Anlässlich der BzP am 18. Dezember 2006 hatte die Beschwerdeführerin zu Protokoll gegeben, ihren Pass auf dem Weg in die Schweiz verloren zu haben (A1/10 S. 3 und 6).</w:t>
      </w:r>
    </w:p>
    <w:p>
      <w:r>
        <w:rPr>
          <w:b/>
        </w:rPr>
        <w:t>E. 4.4</w:t>
      </w:r>
    </w:p>
    <w:p>
      <w:r>
        <w:t>Die übrigen Ausführungen in der Beschwerde und den Eingaben im Rahmen des Schriftenwechsels sind ebenfalls nicht geeignet, die zahlreichen Unglaubhaftigkeitselemente in den Vorbringen der Beschwerdeführerin zu entkräften. Der Rechtsvertreter machte unter anderem geltend, die Beschwerdeführerin habe "in Serbien" als Mitglied einer ethnischen Minderheit täglich Demütigungen erlebt (Beschwerde vom 20. Februar 2007), und sie weise "Realkennzeichen von schwerster minderheitenbedingter Vergewaltigung" auf (Replik vom 7. April 2009, wobei offen bleibt, ob die behaupteten Misshandlungen physischer oder psychischer Art gewesen sein sollen). Diese Aussagen sind in keiner Weise mit denjenigen der Beschwerdeführerin zu vereinbaren. Diese bestätigte anlässlich der BzP ausdrücklich, nur verbal (vom Ex-Freund) bedroht worden zu sein (A22/9 S. 6) und - von diesen Drohungen abgesehen - nie Probleme mit Behörden, Organisationen oder weiteren Personen gehabt zu haben (A1/10 S. 5).</w:t>
      </w:r>
    </w:p>
    <w:p>
      <w:r>
        <w:rPr>
          <w:b/>
        </w:rPr>
        <w:t>E. 4.5</w:t>
      </w:r>
    </w:p>
    <w:p>
      <w:r>
        <w:t>Vor diesem Hintergrund ist nicht ersichtlich, inwiefern Gutachten zur Statusfrage in Kosovo und zur Minderheitenthematik einerseits sowie zur Person der Beschwerdeführerin andererseits zu einem andern Ergebnis führen sollten, und inwiefern ihr Anspruch auf rechtliches Gehör verletzt worden sein sollte (vgl. Sachverhaltsdarstellung Bst. M). Die entsprechenden Anträge in der Replik vom 7. April 2009 sind daher abzuweisen.</w:t>
      </w:r>
    </w:p>
    <w:p>
      <w:r>
        <w:rPr>
          <w:b/>
        </w:rPr>
        <w:t>E. 4.6</w:t>
      </w:r>
    </w:p>
    <w:p>
      <w:r>
        <w:t>Der Beschwerdeführerin ist es demnach nicht gelungen, nachzuweisen oder glaubhaft zu machen, dass sie im Zeitpunkt der Ausreise ernsthaften Nachteilen im Sinne von Art. 3 AsylG ausgesetzt war oder dass sie begründete Furcht hat, solche Nachteile im Falle der Rückkehr in absehbarer Zukunft mit erheblicher Wahrscheinlichkeit erleiden zu müssen. Die Vorinstanz hat das Asylgesuch der Beschwerdeführerin daher zu Recht abgelehnt.</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5.2.1</w:t>
      </w:r>
    </w:p>
    <w:p>
      <w:r>
        <w:t>Die Beschwerdeführenden verfügen weder über eine ausländerrechtliche Aufenthaltsbewilligung noch - wie sogleich zu erörtern sein wird - über einen Anspruch auf Erteilung einer solchen.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EMARK 2001 Nr. 21 E. 8d S. 175; Urteil des Bundesverwaltungsgerichts D-3928/2008 vom 7. Juli 2008 E. 2.2 f.). Gemäss Art. 8 der Konvention vom 4. November 1950 zum Schutze der Menschenrechte und Grundfreiheiten (EMRK, SR 0.101) hat jede Person ein Recht auf Achtung ihres Familienlebens. Die Berufung auf die Bestimmung von Art. 8 EMRK setzt indessen nach der Rechtsprechung des Bundesgerichts voraus, dass ein Familienmitglied in der Schweiz über ein gefestigtes Anwesenheitsrecht - nämlich das Schweizer Bürgerrecht, eine Niederlassungsbewilligung oder eine Aufenthaltsbewilligung, die ihrerseits auf einem festen Rechtsanspruch beruht - verfügt (vgl. dazu BGE 130 II 281 E. 3.1 S. 285 f., BGE 129 II 193 E. 5.3.1 S. 211, BGE 126 II 335 E. 2a S. 339 f., BGE 126 II 377 E. 2b S. 382 ff., mit weiteren Hinweisen). Die dem Ehemann respektive Vater der Beschwerdeführenden gestützt auf Art. 84 Abs. 5 AuG erteilte Aufenthaltsbewilligung entspricht praxisgemäss nicht einem gefestigten Anwesenheitsrecht im oben beschriebenen Sinn und verleiht daher den Beschwerdeführenden keinen Anspruch auf Erteilung einer Aufenthaltsbewilligung (EMARK 2002 Nr. 7 E. 5b.bb S. 48 f.; 2001 Nr. 21 E. 8c.bb S. 174). Die im ausländerrechtlichen Verfahren zuständige Behörde hat über die Gesuche um Erteilung einer Aufenthaltsbewilligung entschieden (vgl. Sachverhalt Bst. O) und dabei das Bestehen eines Anspruchs (implizit) verneint. Demnach haben sich die Asylbehörden bei der Prüfung der Zulässigkeit des Wegweisungsvollzugs grundsätzlich nicht mehr mit Art. 8 EMRK zu befassen (vgl. EMARK 2001 Nr. 21 E. 11a S. 177 f.). Den Beschwerdeführenden bleibt es indes unbenommen, sich nach Abschluss des Asylverfahrens bei der zuständigen kantonalen Behörden erneut (vgl. Sachverhalt Bst. O am Ende und das dort aufgezeigte Verfahren) um die Erteilung einer Aufenthaltsbewilligung zu bemühen.</w:t>
      </w:r>
    </w:p>
    <w:p>
      <w:r>
        <w:rPr>
          <w:b/>
        </w:rPr>
        <w:t>E. 5.2.2</w:t>
      </w:r>
    </w:p>
    <w:p>
      <w:r>
        <w:t>Aus diesen Erwägungen ergibt sich, dass die asylrechtliche Wegweisung durch die Vorinstanz zu Recht angeordnet wurde (Art. 44 Abs. 1 AsylG).</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oder ihr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w:t>
      </w:r>
    </w:p>
    <w:p>
      <w:r>
        <w:rPr>
          <w:b/>
        </w:rPr>
        <w:t>E. 6.2.2</w:t>
      </w:r>
    </w:p>
    <w:p>
      <w:r>
        <w:t>Sodann ergeben sich weder aus den Aussagen der Beschwerdeführerin noch aus den Akten Anhaltspunkte dafür, dass sie und ihr Kind für den Fall einer Rückkehr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Kosovo lässt den Wegweisungsvollzug zum heutigen Zeitpunkt klarerweise nicht als unzulässig erscheinen. Wie erwähnt (vgl. E. 5.2.1), ist im vorliegenden Zusammenhang der Aspekt von Art. 8 EMRK nicht weiter zu prüfen.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Am 17. Februar 2008 erklärte Kosovo die Unabhängigkeit von Serbien. Auch nach der Unabhängigkeitserklärung Kosovos ist weiterhin eine internationale zivile und militärische Präsenz vorgesehen. Die UNO-Verwaltung (UNMIK) soll sukzessive von der EU-Mission (EULEX) abgelöst werden. Internationale Sicherheitskräfte sowie der KPS garantieren die Sicherheit. Die Sicherheitslage in Kosovo hat sich in den vergangenen Jahren verbessert oder zumindest stabilisiert.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in Kosovo) als gegeben erachtet werden können (vgl. dazu letztmals BVGE 2007/10, mit weiteren Hinweisen).</w:t>
      </w:r>
    </w:p>
    <w:p>
      <w:r>
        <w:rPr>
          <w:b/>
        </w:rPr>
        <w:t>E. 6.3.3</w:t>
      </w:r>
    </w:p>
    <w:p>
      <w:r>
        <w:t>Die Beschwerdeführerin und ihr zweijähriges Kind gehören der Minderheit der slawischen Muslime und innerhalb dieser der Untergruppe der Bosniaken an. Was die allgemeine Lage der slawischen Muslime betrifft, so wurde ihnen im Vergleich zu den Angehörigen der Ethnien der Roma, Ashkali und "Ägypter" sowie den Kosovo-Serben schon immer eine höhere Toleranz entgegengebracht. Im Zusammenhang mit der Beurteilung der Vollziehbarkeit einer Wegweisung äusserte sich die ARK schon in EMARK 2002 Nr. 22 zur Situation der slawischen Muslime ("Bosniaken") in Kosovo. Die dort vorgenommene Einschätzung, nämlich dass ein Vollzug der Wegweisung der Angehörigen dieser Ethnie in die Bezirke Dragash, Prizren, Gjakovë oder Pejë zumutbar sei, wenn diese Personen ihren letzten Wohnsitz in einem dieser Bezirke hatten, trifft auch aus heutiger Sicht noch zu. Darüber hinaus ist im Übrigen aufgrund der verbesserten Lage davon auszugehen, dass im heutigen Zeitpunkt ein Vollzug der Wegweisung für slawische Muslime in den gesamten Kosovo (ausser in den Bezirk Mitrovica) zumutbar ist, sofern bestimmte Kriterien (vgl. vorstehende Urteilserwägung E. 6.3.2) individuell überprüft wurden. Insgesamt ist festzuhalten, dass sich die Lage für die slawischen Muslime gegenüber derjenigen, wie sie dem erwähnten Entscheid zu Grunde lag, noch verbessert hat und sich insbesondere im Vergleich zur Lage anderer Minderheiten in Kosovo als noch sicherer erweist. Die Beschwerdeführerin hatte vor der Ausreise ihren letzten Wohnsitz in Z._______ im Bezirk Y._______, wo sie auch geboren und aufgewachsen ist (vgl. A1/10 S. 1 und A22/9 S. 2). Die Beschwerdeführenden vermochten nicht darzutun, dass sie bei einer Rückkehr in ihr Heimatland einer konkreten Gefährdungssituation im Sinne von Art. 83 Abs. 4 AuG ausgesetzt wären. Die Beschwerdeführerin selbst hat nie konkret geltend gemacht, als Angehörige der bosniakischen Minderheit in Kosovo diskriminiert oder behelligt worden zu sein. Die teils unklaren, jedenfalls unsubstanziierten Ausführungen ihres Rechtsvertreters auf Beschwerdeebene müssen daher als nachgeschoben bezeichnet werden und sind unbeachtlich (vgl. Sachverhalt Bst. G und M sowie die vorstehenden Urteilserwägungen E. 4.2 S. 10 und E. 4.4 S. 11). Demnach erweist sich der Vollzug der Wegweisung der Beschwerdeführerin und ihres Kindes aufgrund der allgemeinen Lage grundsätzlich als zumutbar.</w:t>
      </w:r>
    </w:p>
    <w:p>
      <w:r>
        <w:rPr>
          <w:b/>
        </w:rPr>
        <w:t>E. 6.3.4</w:t>
      </w:r>
    </w:p>
    <w:p>
      <w:r>
        <w:t>Die Bewegungsfreiheit der slawischen Muslime ist laut dem Gericht zur Verfügung stehenden Quellen in der Region gewährleistet, ebenso der Zugang zu Schulen sowie medizinischen Versorgungseinrichtungen. Nach wie vor ist jedoch die wirtschaftliche Situation sowie die Arbeitsmarktlage für die Angehörigen aller Ethnien als eher schwierig zu bezeichnen. In der Replik vom 2. August 2007 bringt der Rechtsvertreter lediglich vor, eine Wiedereingliederung der Beschwerdeführerin in der Heimat sei keinesfalls problemlos möglich.</w:t>
      </w:r>
    </w:p>
    <w:p>
      <w:r>
        <w:rPr>
          <w:b/>
        </w:rPr>
        <w:t>E. 6.3.5</w:t>
      </w:r>
    </w:p>
    <w:p>
      <w:r>
        <w:t>In den Akten finden sich jedoch keine konkreten Anhaltspunkte dafür, dass die Beschwerdeführenden aus individuellen Gründen wirtschaftlicher, sozialer oder gesundheitlicher Natur in eine existenzbedrohende Situation geraten würden. Weder bei der Beschwerdeführerin, welche jung ist und über eine achtjährige Schulbildung verfügt (A22/9 S. 2), noch bei ihrem Kind sind gesundheitliche Probleme aktenkundig. Die Beschwerdeführerin ist sodann nicht eine alleinerziehende Mutter, sondern eine verheiratete Frau, deren Ehemann und Vater des gemeinsamen Kindes mit einer B-Bewilligung in der Schweiz wohnhaft ist. Ihr Ehemann C._______ - ein slawischer Muslim - stammt aus dem Dorf U._______ im Bezirk Y._______, in dem er mit seinen Eltern bis zur Ausreise in die Schweiz lebte; ein Bruder wohnt in T._______ (vgl. beigezogene Akten N [...] der Vorinstanz das Asylverfahren des Ehemannes betreffend, A1/8 S. 1 f. und A6/12 S. 4). Die Beschwerdeführerin kann daher in ihrer Heimat nicht nur auf ihre eigenen Verwandten zurückgreifen - ihre Grossmutter, bei der sie aufgewachsen ist, sowie vier Tanten mütterlicherseits (vgl. A1/10 S. 3) - sondern auch auf die Familie ihres Ehemannes; sie verfügt somit in ihrer Herkunftsregion Y._______ über ein ausreichendes soziales Beziehungsnetz und mehrere Wohnmöglichkeiten. Was ihre wirtschaftliche Situation betrifft, ist davon auszugehen, dass die Beschwerdeführenden nach der Rückkehr von ihrem in der Schweiz erwerbstätigen Ehemann beziehungsweise Vater finanzielle Unterstützung erhalten und daher nicht in eine existenzgefährdende Situation geraten werden.</w:t>
      </w:r>
    </w:p>
    <w:p>
      <w:r>
        <w:rPr>
          <w:b/>
        </w:rPr>
        <w:t>E. 6.3.6</w:t>
      </w:r>
    </w:p>
    <w:p>
      <w:r>
        <w:t>Insgesamt erweist sich der Vollzug der Wegweisung der Beschwerdeführenden somit auch als zumutbar im Sinne von Art. 83 Abs. 4 AuG.</w:t>
      </w:r>
    </w:p>
    <w:p>
      <w:r>
        <w:rPr>
          <w:b/>
        </w:rPr>
        <w:t>E. 6.4</w:t>
      </w:r>
    </w:p>
    <w:p>
      <w:r>
        <w:t>Schliesslich obliegt es der Beschwerdeführerin, welche selbst über einen gültigen Reisepass verfügt, sich bei der zuständigen Vertretung des Heimatstaates die für eine Rückkehr notwendigen Reisedokumente für ihr Kind zu beschaffen (Art. 8 Abs. 4 AsylG), weshalb der Vollzug der Wegweisung auch als möglich zu bezeichnen ist (Art. 83 Abs. 2 AuG).</w:t>
      </w:r>
    </w:p>
    <w:p>
      <w:r>
        <w:rPr>
          <w:b/>
        </w:rPr>
        <w:t>E. 7</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(Art. 1-3 des Reglements vom 21. Februar 2008 über die Kosten und Entschädigungen vor dem Bundesverwaltungsgericht [VGKE, SR 173.320.2]) den Beschwerdeführenden aufzuerlegen und mit dem am 19. Februar 2007 geleisteten Kostenvorschuss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