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D-7375/2010 vom 7. Dezember 2011</w:t>
      </w:r>
    </w:p>
    <w:p>
      <w:r>
        <w:t>Bundesverwaltungsgericht, 2011-12-07, DE</w:t>
      </w:r>
    </w:p>
    <w:p>
      <w:r>
        <w:rPr>
          <w:b/>
        </w:rPr>
        <w:t xml:space="preserve">Quelle: </w:t>
      </w:r>
      <w:r>
        <w:t>https://mcp.opencaselaw.ch/entscheid/bvger_D-7375_2010</w:t>
      </w:r>
    </w:p>
    <w:p>
      <w:r>
        <w:t>FR: TAF D-7375/2010 du 7 décembre 2011</w:t>
      </w:r>
    </w:p>
    <w:p>
      <w:r>
        <w:t>IT: TAF D-7375/2010 del 7 dicembre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w:t>
      </w:r>
    </w:p>
    <w:p>
      <w:r>
        <w:rPr>
          <w:b/>
        </w:rPr>
        <w:t>E. 3.3</w:t>
      </w:r>
    </w:p>
    <w:p>
      <w:r>
        <w:t>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4</w:t>
      </w:r>
    </w:p>
    <w:p>
      <w:r>
        <w:t>Ein Gesuch um Familiennachzug, mit dem unter anderem eine persönli­che Gefährdung der sich im Ausland befindenden, nachzuziehenden Per­son geltend gemacht wird, ist nach Treu und Glauben gegebenenfalls auch als Asylgesuch aus dem Ausland im Sinne von Art. 20 Abs. 2 und 3 AsylG zu verstehen (vgl. BVGE 2007/19 E. 3.3.). Beim in Kanada niederge­lassenen Ehemann der Beschwerdeführerin drängt sich eine sol­che Prüfung jedoch offensichtlich nicht auf.</w:t>
      </w:r>
    </w:p>
    <w:p>
      <w:r>
        <w:rPr>
          <w:b/>
        </w:rPr>
        <w:t>E. 5.1</w:t>
      </w:r>
    </w:p>
    <w:p>
      <w:r>
        <w:t>Das BFM geht in der angefochtenen Verfügung wegen der kurzen Zeit, welche die Eheleute nach der Heirat miteinander verbracht hätten, da­von aus, es habe keine gelebte eheliche Gemeinschaft im Sinne des Asyl­gesetzes bestanden. Konkretisierende Erwägungen, welche zu die­ser etwas spekulativen vorinstanzlichen Schlussfolgerung führten, fehlen. Im Weiteren schloss die Vorinstanz, dass unter diesen Umständen auch da­von auszugehen sei, es fehle an der gemäss Art. 51 Abs. 4 AsylG erfor­derlichen Flucht durch Trennung. In diesem Zusammenhang kann aber angemerkt werden, dass das BFM der Beschwerdeführerin durch die Ertei­lung des Visums für die Ausreise in die Schweiz zur Flucht geradezu verholfen und so eine Trennung bewirkt hat. Ob die erwähnten Vorausset­zungen von Art. 51 Abs. 1 und 4 AsylG im Sinne der vorinstanzlichen Erwä­gungen tatsächlich nicht erfüllt sind, kann aber gemäss nachfolgen­den Erwägungen letztlich offen bleiben, da besondere Umstände gegen die Familienzusammenführung in der Schweiz sprechen.</w:t>
      </w:r>
    </w:p>
    <w:p>
      <w:r>
        <w:rPr>
          <w:b/>
        </w:rPr>
        <w:t>E. 6.1</w:t>
      </w:r>
    </w:p>
    <w:p>
      <w:r>
        <w:t>Gemäss Praxis der vormaligen Beschwerdeinstanz, welche vom Bun­desverwaltungsgericht weitergeführt wird, kann die Tatsache, dass ein­zubeziehende Personen eine andere Staatsangehörigkeit besitzen als der Flüchtling, solche besonderen Umstände ausmachen (vgl. Entscheidun­gen und Mitteilungen der Schweizerischen Asylrekurskommis­sion [EMARK] 1996 Nr. 14 E. 7 S. 116 ff.; BVGE 4980/2006). Dabei ist die Frage, ob eine gemischtnationale Flüchtlingsfami­lie sich theoretisch im Heimatland des nichtverfolgten Ehe­partners niederlassen kann, nach den Kriterien der Drittstaatklausel zu be­antworten (vgl. EMARK 1997 Nr. 22 E. 4c S. 180 f.).</w:t>
      </w:r>
    </w:p>
    <w:p>
      <w:r>
        <w:rPr>
          <w:b/>
        </w:rPr>
        <w:t>E. 6.2</w:t>
      </w:r>
    </w:p>
    <w:p>
      <w:r>
        <w:t>In der Beschwerde wird geltend gemacht, der Ehemann der Beschwer­deführerin lebe seit 2006 in Kanada. Ob er bereits kanadischer Staatsbürger ist, geht aus den Akten nicht hervor. Hingegen ist unbestrit­ten, dass er dort eine Niederlassungsbewilligung besitzt und nicht gefähr­det ist. Es rechtfertigt sich daher, die obenerwähnte Praxis auf die Be­schwerdeführerin analog anzuwenden. Dabei fällt ins Gewicht, dass sie bei der Summarbefragung angab, mit der kanadischen Botschaft Kontakt aufgenommen zu haben. Diese Kontakte standen offensichtlich im Zusam­menhang mit der erwogenen Ausreise nach Kanada (vgl. A 1/10 S. 3). Die dabei geschilderten Schwierigkeiten erscheinen nicht als unüber­windbar. Relevante Probleme des Ehemannes in Kanada sind den Akten nicht zu entnehmen. Er scheint über eine feste Arbeitsstelle zu verfügen. Der Beschwerdeführerin dürfte es gelingen, in Kanada, wo ihr keine Verfol­gung droht, eine längerfristige legale Aufenthaltsbewilligung zu erlangen. Kulturelle, sprachliche, religiöse oder sonstige Aspekte, welche gegen eine gemeinsame Wohnsitznahme in Kanada sprechen, sind nicht ersicht­lich und werden auch nicht geltend gemacht. In diesem Sinne sind die Eheleute nicht auf den Schutz respektive den Aufenthalt in der Schweiz angewiesen.</w:t>
      </w:r>
    </w:p>
    <w:p>
      <w:r>
        <w:rPr>
          <w:b/>
        </w:rPr>
        <w:t>E. 6.3</w:t>
      </w:r>
    </w:p>
    <w:p>
      <w:r>
        <w:t>Nach vorstehenden Erwägungen ergibt sich, dass das BFM zu Recht das Gesuch um Familienzusammenführung im Sinne von Art. 51 Abs. 1 und 4 AsylG abgelehnt und dem im Ausland befindlichen Ehemann der Be­schwerdeführerin die Einreise in die Schweiz verweigert hat. Die ange­fochtene Verfügung ist daher zu bestätigen und die Beschwerde abzuwei­sen.</w:t>
      </w:r>
    </w:p>
    <w:p>
      <w:r>
        <w:rPr>
          <w:b/>
        </w:rPr>
        <w:t>E. 6.4</w:t>
      </w:r>
    </w:p>
    <w:p>
      <w:r>
        <w:t>Somit sind vorliegend nicht die Asyl-, sondern die Migrationsbehörden zuständig, den Familiennachzug und allfällige sich aus Art. 8 der Konven­tion vom 4. November 1950 zum Schutze der Menschenrechte und Grund­freiheiten (EMRK, SR 0.101) ergebende Rechtsansprüche zu prü­fen (vgl. EMARK 2006 Nr. 8).</w:t>
      </w:r>
    </w:p>
    <w:p>
      <w:r>
        <w:rPr>
          <w:b/>
        </w:rPr>
        <w:t>E. 7</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