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D-7368/2010 vom 8. Februar 2012</w:t>
      </w:r>
    </w:p>
    <w:p>
      <w:r>
        <w:t>Bundesverwaltungsgericht, 2012-02-08, DE</w:t>
      </w:r>
    </w:p>
    <w:p>
      <w:r>
        <w:rPr>
          <w:b/>
        </w:rPr>
        <w:t xml:space="preserve">Quelle: </w:t>
      </w:r>
      <w:r>
        <w:t>https://mcp.opencaselaw.ch/entscheid/bvger_D-7368_2010</w:t>
      </w:r>
    </w:p>
    <w:p>
      <w:r>
        <w:t>FR: TAF D-7368/2010 du 8 février 2012</w:t>
      </w:r>
    </w:p>
    <w:p>
      <w:r>
        <w:t>IT: TAF D-7368/2010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zu prüfen, ob dem Beschwerdeführer - wie von ihm in der Rechtsmittelschrift beantragt - Einsicht in die Aktenstücke A 20/2 (interne Analyse der Identitätskarte) und A 25/5 (LINGUA-Analyse) hätte gewährt wer­den müssen. Das BFM verweigerte mit Verfügung vom 18. August 2010 das Einsichtsrecht in diese Aktenstücke als solche unter Hinweis auf bestehende öffentliche und private Geheimhaltungsinteressen (vgl. Art. 27 VwVG).</w:t>
      </w:r>
    </w:p>
    <w:p>
      <w:r>
        <w:rPr>
          <w:b/>
        </w:rPr>
        <w:t>E. 3.1.1</w:t>
      </w:r>
    </w:p>
    <w:p>
      <w:r>
        <w:t>Der Anspruch auf rechtliches Gehör enthält gemäss Art. 29 Abs.2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3.1.2</w:t>
      </w:r>
    </w:p>
    <w:p>
      <w:r>
        <w:t>Art. 26 Abs. 1 VwVG beinhaltet den grundsätzlichen Anspruch der Partei oder ihres Vertreters auf Einsicht in die Verfahrensakten.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(Entscheidungen und Mitteilungen der Schweizerischen Asylrekurskommis­sion [EMARK] 1994 Nr. 1 E. 3a und b).</w:t>
      </w:r>
    </w:p>
    <w:p>
      <w:r>
        <w:rPr>
          <w:b/>
        </w:rPr>
        <w:t>E. 3.1.3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geheimzuhaltende Inhalt des betreffenden Aktenstücks ist in geeigne­ter Form (wie etwa Abdecken oder Aussondern geheimer Stellen, Auskunftserteilung, Zusendung von Auszügen) zugänglich zu machen. Die in Anwendung von Art. 27 Abs. 1 und 2 VwVG eingeschränkte oder ver­weigerte Akteneinsicht ist zudem konkret zu begründen (EMARK 1994 Nr. 1 E. 4b).</w:t>
      </w:r>
    </w:p>
    <w:p>
      <w:r>
        <w:rPr>
          <w:b/>
        </w:rPr>
        <w:t>E. 3.1.4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geheimgehaltener Akten respektive ge­heimgehaltene Teile von Dokumenten bei der Entscheidfindung nicht aus, knüpft indessen an die Voraussetzung, dass die Parteien darüber infor­miert werden, in welchen Punkten sich der betreffende Entscheid auf das fragliche Aktenstück stützt (EMARK 1994 Nr. 1 E. 5b).</w:t>
      </w:r>
    </w:p>
    <w:p>
      <w:r>
        <w:rPr>
          <w:b/>
        </w:rPr>
        <w:t>E. 3.2</w:t>
      </w:r>
    </w:p>
    <w:p>
      <w:r>
        <w:t>Die Akte A 20/2 wurde vom BFM mit "B" klassifiziert (interne Akte). Dies ist nach dem Gesagten insofern unzutreffend, als sie ein Analysefor­mular für gewisse irakische Identitätskarten samt Befund betreffend das ge­prüfte Dokument enthält (vgl. Ziff. 3.1.2. vorstehend). Im Ergebnis hat die Vorinstanz aber auch den wesentlichen Inhalt dieses Dokument dem Be­schwerdeführer mit Zwischenverfügung vom 18. August 2010 offen ge­legt, weshalb ihm aus der falschen Klassifizierung kein Nachteil erwach­sen ist. Zu dieser Akte ist festzustellen, dass gewichtige Geheimhaltungsinte­ressen bestehen, die geeignet sind, die Akteneinsicht einzuschränken. Ein solches Interesse stellen insbesondere das genaue Vorgehen und die Prüfungspunkte bei einer internen Dokumentenanalyse dar. Auch der Umstand, dass bei einer vollständigen Offenlegung aller Ein­zelheiten von behördlichen Fälschungserkenntnissen bezüglich gewis­ser Dokumente deren missbräuchliche Verwendung durch den Beschwer­deführer oder Dritte zu befürchten ist, stellt einen genügenden Verweige­rungsgrund dar (EMARK 1994 Nr. 1 E. 4c). Somit hat die Vorinstanz dem Beschwerdeführer bezüglich der Akte A 20/2 das Akteneinsichtsrecht zu Recht gestützt auf Art. 27 VwVG verweigert. Dadurch, dass die Vorin­stanz den Beschwerdeführer mit Zwischenverfügung vom 18. August 2010 über das Ergebnis der Dokumentenanalyse in den wesentlichen Zü­gen informierte und er dazu Stellung nehmen konnte, hat sie den Anforde­rungen von Art. 28 VwVG Genüge getan und durfte zum Nachteil des Beschwerdeführers in der angefochtenen Verfügung auf das Akten­stück A 20/2 abstellen.</w:t>
      </w:r>
    </w:p>
    <w:p>
      <w:r>
        <w:rPr>
          <w:b/>
        </w:rPr>
        <w:t>E. 3.3</w:t>
      </w:r>
    </w:p>
    <w:p>
      <w:r>
        <w:t>Die Akte A 25/5 wurden durch das BFM mit "A" klassifiziert, das heisst als Akte, an der gemäss Aktenverzeichnis des BFM ein überwiegen­des öffentliches oder privates Interesse an der Geheimhaltung bestehe. Bei diesem Aktenstück handelt es sich um ein "Gutachten" einer vom BFM (Fachstelle LINGUA) beauftragten Expertenperson, mit deren Hilfe Erkenntnisse über den Sozialisierungsort des Beschwerdeführers ge­wonnen werden sollten. Es ist festzuhalten, dass auch hinsichtlich die­ses Aktenstücks gewichtige Geheimhaltungsinteressen existieren, die geeig­net sind, die Akteneinsicht einzuschränken. Solche Interessen be­stehen insbesondere bezüglich des genauen Vorgehens und der Prüfungs­punkte bei Durchführung einer derartigen Analyse. Der Um­stand, wonach bei einer vollständigen Offenlegung aller Prüfungspunkte de­ren missbräuchliche Verwendung durch den Beschwerdeführer oder Dritte zu befürchten ist, stellt einen genügenden Verweigerungsgrund dar. Daher hat die Vorinstanz auch bezüglich der Akte A 25/5 das Akteneinsichts­recht zu Recht gestützt auf Art. 27 VwVG verweigert.</w:t>
      </w:r>
    </w:p>
    <w:p>
      <w:r>
        <w:rPr>
          <w:b/>
        </w:rPr>
        <w:t>E. 3.4</w:t>
      </w:r>
    </w:p>
    <w:p>
      <w:r>
        <w:t>Da das BFM dem Beschwerdeführer den wesentlichen Inhalt besag­ter Aktenstücke vor Entscheiderlass im Sinne von Art. 28 VwVG offen­legte, ist seine Vorgehensweise mithin nicht zu beanstanden. Die Behaup­tung des Beschwerdeführers, ihm seien die Ergebnisse der Analy­sen nicht bekannt gegeben worden, trifft nicht zu. Die gerügte Verletzung des Akteneinsichtsrechts liegt somit nicht vor, weshalb das Gesuch um Rück­weisung der Sache an das BFM, wie auch die (sinn­gemässen) Anträge auf vollständige Einsicht in besagte Akten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anerkennt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misst ihnen indessen sofern bestimmte Anforderungen an die fachliche Qualifikation, Objektivität und Neutralität des Experten wie auch an die inhaltliche Schlüssigkeit und Nachvollziehbarkeit der Analyse erfüllt sind erhöhten Beweiswert zu (vgl. EMARK 2003 Nr. 14 E. 7, EMARK 1998 Nr. 34). Demnach sind LINGUA-Analysen grundsätzlich geeignet, den Nachweis einer Herkunftstäuschung zu erbringen (vgl. EMARK 1999 Nr. 19 E. 3d).</w:t>
      </w:r>
    </w:p>
    <w:p>
      <w:r>
        <w:rPr>
          <w:b/>
        </w:rPr>
        <w:t>E. 5.2</w:t>
      </w:r>
    </w:p>
    <w:p>
      <w:r>
        <w:t>Die LINGUA-Analyse vom 18. Juni 2009 ist fundiert, sehr differenziert und in allen Teilen der Begründung überzeugend ausgefallen. Sie gibt zu keinen Beanstandungen Anlass. Der eingesetzte Gutachter verfügt ge­mäss Aktenlage über vertiefte Kenntnisse in den relevanten Bereichen (vgl. A 24/1). Es liegen demnach keine Gründe vor, an der Qualifikation des Gutachters insbesondere hinsichtlich der Analyse der sprachlichen Sozi­alisation des Beschwerdeführers zu zweifeln. Der Antrag auf Durchfüh­rung weiterer behördlicher Abklärungen - etwa im Sinne einer neuen Sprachanalyse durch einen anderen Gutachter - ist somit abzuwei­sen. Vielmehr ist entgegen den nicht überzeugenden Beschwerde­vorbringen von korrekten Analyseergebnissen auszugehen, die geeignet sind, die Glaubhaftigkeit der angeblichen Verfolgung im ange­gebenen Herkunftsgebiet zu beeinträchtigen.</w:t>
      </w:r>
    </w:p>
    <w:p>
      <w:r>
        <w:rPr>
          <w:b/>
        </w:rPr>
        <w:t>E. 6.1</w:t>
      </w:r>
    </w:p>
    <w:p>
      <w:r>
        <w:t>Eine Durchsicht der Aussagen des Beschwerdeführers ergibt das Bild einer in wesentlichen Punkten konstruiert wirkenden Schilderung. Ein­zelne etwas substanziiertere Passagen vermögen entgegen der sehr pauschalen Argumentationsweise der Rechtsvertretung darüber nicht hin­wegzutäuschen, zumal die Darlegungen des Beschwerdeführers kaum Real­kennzeichen im Hinblick auf die geltend gemachte Entführung durch Mitglieder einer Terrorgruppe aufweisen (A 9/22 Antwort 51). Es mag zwar zutreffen, dass der Beschwerdeführer mit seinem Wagen auf irakischem Staatsgebiet in eine Kontrolle geraten ist und im Rahmen von Abklärun­gen befragt wurde. Soweit er aber in diesem Zusammenhang den Ein­druck einer Entführung durch Mitglieder der besagten Terrorgruppe zu erwe­cken versucht, gelingt ihm dies in Anbetracht der diesbezüglich sehr stereotypen Schilderungen nicht (vgl. A 9/22 Antworten 76 ff., 118 ff., 143 ff. und 171 ff.). Die Tatsache, dass er mit Eingabe vom 1. September 2011 Mate­rial aus dem Internet zu terroristischen Umtrieben vor Ort einreichte, bestä­tigt den Eindruck einer ihm allenfalls aus den Medien bekannten Situa­tion; dass er davon persönlich betroffen gewesen wäre, kann den Un­terlagen aber in keiner Weise schlüssig entnommen werden. Dasselbe trifft gemäss Übersetzung auf das am 30. Januar 2012 nachgereichte Beweismittel (Stick einer Radiosendung) zu. Im Weite­ren ist zu berücksichtigen, dass nach Erkenntnissen der schweizerischen Asylbehörden im Irak alle Arten von Dokumenten einfach auf illegale Weise zu beschaffen sind, weshalb ihnen generell nur ein reduzierter Be­weiswert beizumessen ist. Die im vorinstanzlichen Verfahren und auf Be­schwerdeebene eingereichten Beweismittel für die angebliche Entführung - namentlich Drohbriefe, Anzeigen, behördeninternes Schreiben - vermö­gen daher die dargelegten erheblichen Anhaltspunkte für die Un­glaubhaftig­keit der Angaben des Beschwerdeführers nicht auszuräu­men (vgl. auch A 9/22 Antworten 128 ff.). Zudem hat er die Vorfälle im Zu­sammenhang mit der angeblichen Entführung wiederholt widersprüchlich und ungereimt dargelegt; die entsprechenden und zutreffenden vor­instanzli­chen Erwägungen, auf welche verwiesen werden kann, sind mangels konkreter Gegenargumente unwidersprochen geblieben.</w:t>
      </w:r>
    </w:p>
    <w:p>
      <w:r>
        <w:rPr>
          <w:b/>
        </w:rPr>
        <w:t>E. 6.2</w:t>
      </w:r>
    </w:p>
    <w:p>
      <w:r>
        <w:t>Der Beschwerdeführer hat im Weiteren bei der Erstbefragung ausge­sagt, seit der Geburt bis August 2007 in _______ wohnhaft gewesen zu sein (A 2/11 S. 1). Dem LINGUA-Experten gegenüber räumte er indes ein, sich während langer Zeit (auch) in _______ aufgehalten zu ha­ben. Ein Übersetzungs- oder Dolmetscherproblem für die Erstaussage kann entgegen den Beschwerdevorbringen ausgeschlossen werden, da er keine entsprechenden Probleme geltend machte (A 2/11 S. 2, 9 und 10). Diese widersprüchlichen Angaben zu Aufenthaltsorten bestätigen die Zweifel an der Verfolgung im angeblichen Herkunftsgebiet. Auch die Tatsa­che, dass der Beschwerdeführer seinen Aufenthalt in Deutschland ver­bunden mit einem Asylverfahren vorerst verschwieg, lässt sein Aussage­verhalten als sehr berechnend erscheinen. Und schliesslich weckt auch die dort angegebene angeblich falsche Identität, mitsamt einer anderen Staatsangehörigkeit erhebliche Zweifel an der Glaubwürdigkeit des Beschwerdeführers. Die angebliche Furcht vor der auch in Deutschland aktiven Terrorgruppe erscheint dabei konstruiert und wenig überzeugend.</w:t>
      </w:r>
    </w:p>
    <w:p>
      <w:r>
        <w:rPr>
          <w:b/>
        </w:rPr>
        <w:t>E. 6.3</w:t>
      </w:r>
    </w:p>
    <w:p>
      <w:r>
        <w:t>Das Ergebnis der Herkunfts-Analyse (geografische Zuordnung mit über­wiegender Wahrscheinlichkeit zu _______) wird grundsätzlich auch dadurch erhärtet, dass die Vorinstanz bei der zu den Akten gereich­ten Identitätskarte Fälschungsmerkmale festgestellt hat. Angesichts der vom BFM aufgelisteten Fälschungsmerkmale, welche durch die Ge­genargu­mente des Beschwerdeführers nicht hinreichend erklärbar er­scheinen, kann diesem Dokument demnach in Bezug auf die Herkunft des Beschwerdeführers nur ein beschränkter Beweiswert zuerkannt wer­den. In Anbetracht der erwähnten leichten Erhältlichkeit irakischer Doku­mente unbesehen der Frage, ob sie einen tatsächlichen Sachverhalt be­le­gen, trifft dies auch auf die im Beschwerdeverfahren eingereichten Wohnsitzbestätigungen zu. Es ist aber auch darauf hinzuweisen, das in der sehr differenzierten LINGUA-Analyse im Rahmen der Überprüfung von Phonetik/Phonologie, Morphologie und Syntax auch Elemente, welche für ei­nen gewissen Bezug des Beschwerdeführers zu _______ spre­chen sollen, festgehalten wurden. So schloss der Experte eine Geburt des Beschwerdeführers am von ihm angegebenen Ort und einige Jahre Auf­enthalt dort nicht aus. Der Experte wies überdies auf gute Ortskennt­nisse des Beschwerdeführers hin. Im Ergebnis ist demnach nicht ausge­schlossen, dass er tatsächlich aus _______ stammt, dort einige Jahre lebte und dorthin auch während oder nach seiner Sozialisation in _______ zwischen­durch wieder zurückkehrte. Vor diesem Hintergrund dürfte es ihm unter Umständen auch möglich gewesen sein, Dokumente aus sei­nem Geburtsort zu beschaffen. Die Frage, inwieweit diese tatsächlich als authentisch anzusehen sind, kann nach dem Gesagten aber letztlich of­fen gelassen werden, da sie die vom Experten festgehaltene Hauptsozialisa­tion in _______ nicht zu entkräften vermögen.</w:t>
      </w:r>
    </w:p>
    <w:p>
      <w:r>
        <w:rPr>
          <w:b/>
        </w:rPr>
        <w:t>E. 6.4</w:t>
      </w:r>
    </w:p>
    <w:p>
      <w:r>
        <w:t>In Anbetracht dieser Umstände sowie des klaren Ergebnisses der LIN­GUA-Analyse gelangt das Gericht in Übereinstimmung mit der Vorin­stanz zum Schluss, dass der Beschwerdeführer seine Hauptsozialisation in _______ nicht glaubhaft gemacht hat. Demzufolge ist die von ihm vorgebrachte Gefährdung durch arabische Terroristen auch in diesem Lichte besehen nicht glaubhaft. Anzumerken ist ohnehin, dass Entführungen durch kriminelle Organisationen aus finanziellen Gründen nicht als asylrechtlich relevante Verfolgungsmotive gelten könnten und der Beschwerdeführer zudem vor einer allfälligen Gefährdung in diesem Sinne im Norden des Iraks geschützt wäre.</w:t>
      </w:r>
    </w:p>
    <w:p>
      <w:r>
        <w:rPr>
          <w:b/>
        </w:rPr>
        <w:t>E. 6.5</w:t>
      </w:r>
    </w:p>
    <w:p>
      <w:r>
        <w:t>Zusammenfassend ist festzuhalten, dass es dem Beschwerde­füh­rer nicht gelungen ist, eine im Sinne von Art. 3 AsylG asylrelevante Verfol­gungsgefahr nachzu­weisen oder glaubhaft darzutun. Die Vorinstanz hat sein Asylgesuch demzufolge zu Recht abgelehnt. Mangels Relevanz kann davon abgesehen werden, auf weitere Beschwerdevorbringen und die Beweismittel näher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wo der Beschwerdeführer jedenfalls längere Zeit gelebt hat, lässt den Wegweisungs­vollzug zum heutigen Zeitpunkt nicht als unzulässig erschei­nen (vgl. BVGE 2008/4 E. 6.2 ff.).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Wie oben ausgeführt, ist von einem langjährigen Aufenthalt des Beschwerdefüh­rers in der Provinz _______ auszugehen.</w:t>
      </w:r>
    </w:p>
    <w:p>
      <w:r>
        <w:rPr>
          <w:b/>
        </w:rPr>
        <w:t>E. 8.4.3</w:t>
      </w:r>
    </w:p>
    <w:p>
      <w:r>
        <w:t>Das Bundesverwaltungsgericht ist aufgrund einer umfassenden Beur­teilung der aktuellen Situation in den nordirakischen Provinzen Do­huk, Sulaimaniya und Erbil zum Schluss gekommen, dass in den drei kurdi­schen Provinzen keine Situation allgemeiner Gewalt herrscht, und die dortige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Amt des Hohen Flüchtlingskom­mis­sars der Vereinten Nationen [UNHCR], Note on the Continued Applicability of the April 2009 UNHCR Eli­gibility Guidelines for Assessing the International Protection Needs of Iraqi Asylum-See­kers, Juli 2010, S. 2 f.). Beim Beschwerdeführer handelt es sich um einen relativ jungen, alleinste­henden und gemäss Aktenlage gesunden Mann. Er verfügt über Sprachkenntnisse, eine gewisse Schulbildung und arbeitete als Händler. Da­bei erzielte er als Grossist offenbar ein hohes Einkommen (A 9/22 Ant­worten 45, 168 und 197). Ferner war es ihm möglich, wiederholt Beweismit­tel aus dem Irak einzureichen, was auf soziale Anknüpfungs­punkte vor Ort hindeutet. Nach dem Gesagten steht auch fest, dass er län­gere Zeit im Nordirak gelebt hat. Unter diesen Umständen ist entgegen seinen Aussagen grundsätzlich davon auszugehen, dass er dort über ein tragfähiges soziales Netz verfügt. Dieser Schluss rechtfertigt sich auch auf­grund des erhärteten Verdachts, der Beschwerdeführer lasse die Asylbe­hörden über seine tatsächliche soziale Situation vor Ort letztlich im Dunkeln. Bei dieser Sachlage kann der Umstand, ob er ge­mäss seinen An­gaben tatsächlich über keine Verwandten in den drei genannten nordiraki­schen Provin­zen verfügt, letztlich nicht ge­klärt werden und ist vom Bundesverwaltungsge­richt praxisgemäss auch nicht weiter abzuklä­ren, da die Untersu­chungspflicht nach Treu und Glau­ben ihre Grenzen an der Mitwirkungspflicht der beschwerdeführenden Person findet (Art. 8 AsylG), die auch die Substan­ziierungslast trägt (Art. 7 AsylG). Im Übrigen ist darauf hinzuweisen, dass wirtschaftliche Schwierigkeiten, von welchen die vor Ort ansässige Bevölkerung generell betroffen ist, wie beispielsweise Wohnungsnot oder ein schwieriger Arbeitsmarkt, für sich al­lein praxisgemäss keine konkrete Gefährdung im Sinne von Art. 83 Abs. 4 AuG darstellen (vgl. BVGE 2010/41 E. 8.3.5 und 8.3.6 S. 590 f.; EMARK 2003 Nr. 24 E. 5e S. 159 mit weiteren Hinwei­sen).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dem Beschwerdeführer die Kosten aufzuerlegen (Art. 63 Abs. 1 VwVG). Gemäss Aktenlage ist indes nach wie vor von seiner Bedürftigkeit auszugehen. Die Begehren erschienen zudem nicht aussichtslos. In Gutheissung des Ge­suchs im Sinne von Art. 65 Abs. 1 VwVG ist entsprechend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