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D-735/2026 vom 29. April 2026</w:t>
      </w:r>
    </w:p>
    <w:p>
      <w:r>
        <w:t>Bundesverwaltungsgericht, 2026-04-29, DE</w:t>
      </w:r>
    </w:p>
    <w:p>
      <w:r>
        <w:rPr>
          <w:b/>
        </w:rPr>
        <w:t xml:space="preserve">Quelle: </w:t>
      </w:r>
      <w:r>
        <w:t>https://mcp.opencaselaw.ch/entscheid/bvger_D-735_2026</w:t>
      </w:r>
    </w:p>
    <w:p>
      <w:r>
        <w:t>FR: TAF D-735/2026 du 29 avril 2026</w:t>
      </w:r>
    </w:p>
    <w:p>
      <w:r>
        <w:t>IT: TAF D-735/2026 del 29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 nachdem der Kostenvorschuss fristgerecht geleistet wurde.</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Das SEM führt in der angefochtenen Verfügung zu Recht aus, der Beschwerdeführer mache reine wirtschaftliche und familiäre Probleme geltend, was keine Verfolgung im Sinne von Art. 3 AsylG darstelle. Die von ihm geltend gemachten Übergriffe von privaten Dritten, seinem Stiefvater, können nicht als asylrechtlich relevante Nachteile qualifiziert werden, zumal ihnen bereits ein entsprechendes Motiv abzusprechen ist. Ohnehin ist der Beschwerdeführer inzwischen volljährig geworden, weshalb er sich entsprechenden Nachteilen ohne weiteres entziehen kann. Dem wird in der Beschwerde denn auch nichts Stichhaltiges entgegengehalten, zumal sich der Beschwerdeführer erneut darauf beschränkt, auf die schwierigen wirtschaftlichen Lebensbedingungen und seine psychische Belastung hinzuweisen.</w:t>
      </w:r>
    </w:p>
    <w:p>
      <w:r>
        <w:rPr>
          <w:b/>
        </w:rPr>
        <w:t>E. 3.3</w:t>
      </w:r>
    </w:p>
    <w:p>
      <w:r>
        <w:t>Die Vorinstanz hat demnach zu Recht die Flüchtlingseigenschaft verneint und das Asylgesuch abgelehnt.</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Guinea ist praxisgemäss nicht von einer Situation wie Krieg, Bürgerkrieg oder allgemeiner Gewalt auszugehen (vgl. hierzu etwa die Urteile des BVGer D-6098/2025 vom 22. September 2025 E. 9.3.3; D-7836/2024 und D-7790/2024 vom 6. Februar 2025 E. 7.3.1; D-7541/2024 vom 23. Januar 2025 E. 8.3.2; je m.w.H.). Der Beschwerdeführer macht zwar geltend, über keine Ausbildung und kein Beziehungsnetz zu verfügen und psychisch belastet zu sein, weshalb eine Rückkehr unzumutbar sei. Dem kann sich das Gericht jedoch nicht anschliessen. Beim Beschwerdeführer handelt es sich um einen jungen, physisch gesunden Mann, der in der Lage sein wird, sich eine Existenzgrundlage aufzubauen. Er hat denn auch sein Leben bis zu seiner Ausreise immer am gleichen Ort verbracht, weshalb seine Behauptung, dort niemanden mehr zu kennen, von der Hand zu weisen ist. Auch ist darauf hinzuweisen, dass es ihm offenbar gelungen ist, über seine Mutter einen Geburtsschein zu organisieren, weshalb auch die Behauptung, nicht mit seiner Familie in Kontakt treten zu können, als Schutzbehauptung zu qualifizieren ist. Allfällige psychische Probleme sind offensichtlich nicht derart schwerwiegend, als dass diese einem Vollzug der Wegweisung entgegenstehen könnten, zumal der Beschwerdeführer in den Jahren, die er in der Schweiz verbracht hat, offensichtlich keine Behandlung in Anspruch nehmen musste. 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Die Beschwerde ist als offensichtlich unbegründet abzuweisen.</w:t>
      </w:r>
    </w:p>
    <w:p>
      <w:r>
        <w:rPr>
          <w:b/>
        </w:rPr>
        <w:t>E. 7</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