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D-7349/2018 vom 24. Januar 2019</w:t>
      </w:r>
    </w:p>
    <w:p>
      <w:r>
        <w:t>Bundesverwaltungsgericht, 2019-01-24, DE</w:t>
      </w:r>
    </w:p>
    <w:p>
      <w:r>
        <w:rPr>
          <w:b/>
        </w:rPr>
        <w:t xml:space="preserve">Quelle: </w:t>
      </w:r>
      <w:r>
        <w:t>https://mcp.opencaselaw.ch/entscheid/bvger_D-7349_2018</w:t>
      </w:r>
    </w:p>
    <w:p>
      <w:r>
        <w:t>FR: TAF D-7349/2018 du 24 janvier 2019</w:t>
      </w:r>
    </w:p>
    <w:p>
      <w:r>
        <w:t>IT: TAF D-7349/2018 del 24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1.4</w:t>
      </w:r>
    </w:p>
    <w:p>
      <w:r>
        <w:t>Über offensichtlich begründete Beschwerden wird in einzelrichterlicher Zuständigkeit mit Zustimmung eines zweiten Richters beziehungsweise einer zweiten Richterin entschieden (Art. 111 Bst. e AsylG). Wie nachfolgend aufgezeigt wird, handelt es sich um eine solche, weshalb das Urteil nur summarisch zu begründen ist (Art. 111a Abs. 2 AsylG).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 Im Bereich des Ausländerrechts richten sich die Kognition des Bundesverwaltungsgerichts und die zulässigen Rügen nach Art. 49 VwVG (vgl. BVGE 2014/26 E. 5).</w:t>
      </w:r>
    </w:p>
    <w:p>
      <w:r>
        <w:rPr>
          <w:b/>
        </w:rPr>
        <w:t>E. 3.1</w:t>
      </w:r>
    </w:p>
    <w:p>
      <w:r>
        <w:t>Der Antrag auf Bekanntgabe des Spruchkörpers ist mit diesem Urteil gegenstandslos geworden.</w:t>
      </w:r>
    </w:p>
    <w:p>
      <w:r>
        <w:rPr>
          <w:b/>
        </w:rPr>
        <w:t>E. 3.2</w:t>
      </w:r>
    </w:p>
    <w:p>
      <w:r>
        <w:t>Auf den Antrag auf Mitteilung betreffend die Bildung des Spruchkörpers ist nicht einzutreten (vgl. Teilurteil des BVGer D-1549/2017 vom 2. Mai 2018 E. 4 [zur Publikation vorgesehen]).</w:t>
      </w:r>
    </w:p>
    <w:p>
      <w:r>
        <w:rPr>
          <w:b/>
        </w:rPr>
        <w:t>E. 4</w:t>
      </w:r>
    </w:p>
    <w:p>
      <w:r>
        <w:t>Im Asylverfahren gilt der Untersuchungsgrundsatz (Art. 12 VwVG i.V.m. Art. 6 AsylG). Demnach hat die Behörde von Amtes wegen für die richtige und vollständige Abklärung des rechtserheblichen Sachverhaltes zu sorgen und muss dabei auch nach allen Elementen forschen, die zugunsten der asylsuchenden Person sprechen. Bei der Sachverhaltsermittlung trifft die asylsuchende Person eine im Vergleich zum Verwaltungsverfahren verstärkte Mitwirkungspflicht (Art. 8 AsylG). Die Behörde muss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(BVGE 2009/50 E. 10.2.1).</w:t>
      </w:r>
    </w:p>
    <w:p>
      <w:r>
        <w:rPr>
          <w:b/>
        </w:rPr>
        <w:t>E. 5.1</w:t>
      </w:r>
    </w:p>
    <w:p>
      <w:r>
        <w:t>In der BzP führte der Beschwerdeführer aus, dass sein älterer Bruder im Jahr (...) den LTTE beigetreten und im Jahr (...) als Märtyrer gestorben sei (vgl. act. A4/13 S. 8). Anlässlich der Anhörung legte der Beschwerdeführer einen Auszug aus dem Todesregister vom (...) ins Recht (vgl. act. A10/25 F8, Dokument 5). Weiter brachte er im Zusammenhang mit den geltend gemachten Vorfluchtgründen vor, dass er die Arbeit bei der (...), welche von den LTTE betrieben worden sei (a.a.O. F59-65), nur dank des Status seiner Familie erhalten habe, welcher diese aufgrund des verstorbenen Bruders innegehabt habe (a.a.O. F97 f.). Des Weiteren führte er aus, dass der Sohn seiner Tante (...) bei den Black Tigers gewesen sei. Dessen Bruder sei ebenfalls ein LTTE-Mitglied gewesen und habe sich inzwischen nach F._______ abgesetzt. Auch (...) habe er Verwandte, die den LTTE angehört hätten. So sei der Sohn seiner Tante bei der LTTE-Marine gewesen und ein Sohn seines Onkels normales Mitglied (a.a.O. F108). Um seine Vorbringen zu untermauern, reichte der Beschwerdeführer verschiedene Beweismittel ein (vgl. Beweismitteleingabe vom 15. Januar 2019).</w:t>
      </w:r>
    </w:p>
    <w:p>
      <w:r>
        <w:rPr>
          <w:b/>
        </w:rPr>
        <w:t>E. 5.2</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Internationale Organisation für Migration begleitete Rückführung sowie gut sichtbare Narben schwach risikobegründende Faktoren darstellen. Dies bedeute, dass diese in der Regel für sich alleine genommen keine relevante Furcht vor ernsthaften Nachteilen zu begründen vermöchten, indes das Risiko eines Rückkehrenden erhöhen würden, ins Visier der sri-lankischen Behörden zu geraten und von diesen genauer überprüft sowie über die Gründe des Auslandaufenthaltes befragt zu werden. In Kombination mit stark risikobegründenden Faktoren könnten sie somit die Gefahr einer flüchtlingsrechtlich relevanten Verfolgung bei der Rückkehr nach Sri Lanka erhöhen.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dort E. 8.5.5).</w:t>
      </w:r>
    </w:p>
    <w:p>
      <w:r>
        <w:rPr>
          <w:b/>
        </w:rPr>
        <w:t>E. 5.3</w:t>
      </w:r>
    </w:p>
    <w:p>
      <w:r>
        <w:t>Vor diesem Hintergrund erstaunt es, dass die familiären Bande des Beschwerdeführers zu den LTTE in der angefochtenen Verfügung weder im Sachverhalt (Teil I) noch in den Erwägungen (Teil II und Teil III) erwähnt werden. Die vorinstanzlichen Erwägungen beziehen sich lediglich auf die geltend gemachten Vorfluchtgründe; die familiären Verbindungen zu den LTTE bleiben indessen sowohl bei der Risikofaktorenprüfung (Teil II) als auch bei der Prüfung der Wegweisungsvollzugshindernisse (Teil III) gänzlich unberücksichtigt. Verbindungen zu den LTTE müssen in der Gesamtwürdigung des Risikoprofils jedoch berücksichtigt werden. In der angefochtenen Verfügung hätte dieses Sachverhaltselement deshalb zumindest kurz erwähnt und gewürdigt werden müssen. Des Weiteren ist festzustellen, dass der eingereichte Auszug aus dem Todesregister im Sachverhalt ebenfalls nicht aufgelistet ist, obwohl die weiteren Beweismittel, welche der Beschwerdeführer anlässlich der Anhörung gleichzeitig einreichte (vgl. act. A10/25 F4 ff.), aufgeführt werden.</w:t>
      </w:r>
    </w:p>
    <w:p>
      <w:r>
        <w:rPr>
          <w:b/>
        </w:rPr>
        <w:t>E. 5.4</w:t>
      </w:r>
    </w:p>
    <w:p>
      <w:r>
        <w:t>Wie vorstehend ausgeführt, ergibt sich aus dem Untersuchungsgrundsatz, dass die Behörde den rechtserheblichen Sachverhalt von Amtes wegen richtig und vollständig abklären muss. Indem es die Vorinstanz versäumte, die Vorbringen insbesondere unter dem Gesichtspunkt der subjektiven Nachfluchtgründe zu prüfen, hat sie somit den Untersuchungsgrundsatz verletzt.</w:t>
      </w:r>
    </w:p>
    <w:p>
      <w:r>
        <w:rPr>
          <w:b/>
        </w:rPr>
        <w:t>E. 5.5</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und es rechtfertigt sich eine Kassation der angefochtenen Verfügung. Im Übrigen bleibt auf diese Weise der Instanzenzug erhalten, was umso wichtiger ist, als das Bundesverwaltungsgericht letztinstanzlich entscheidet.</w:t>
      </w:r>
    </w:p>
    <w:p>
      <w:r>
        <w:rPr>
          <w:b/>
        </w:rPr>
        <w:t>E. 6</w:t>
      </w:r>
    </w:p>
    <w:p>
      <w:r>
        <w:t>Nach dem Gesagten ist die Beschwerde gutzuheissen, soweit die Aufhebung der angefochtenen Verfügung beantragt wird. Die Verfügung vom 21. November 2018 ist aufzuheben und die Sache zur vollständigen Feststellung des Sachverhalts und anschliessenden Neubeurteilung - unter Würdigung aller entscheidwesentlichen Sachverhaltselemente - an die Vorinstanz zurückzuweisen. Angesichts des Verfahrensausgangs kann offengelassen werden, ob die geltend gemachte Vorverfolgung als glaubhaft gemacht erscheint. Auf die weiteren Anträge in der Rechtsmitteleingabe ist nicht einzugehen.</w:t>
      </w:r>
    </w:p>
    <w:p>
      <w:r>
        <w:rPr>
          <w:b/>
        </w:rPr>
        <w:t>E. 7.1</w:t>
      </w:r>
    </w:p>
    <w:p>
      <w:r>
        <w:t>Die Verfahrenskosten sind in der Regel der unterliegenden Partei aufzuerlegen. Einer obsiegenden Partei dürfen nur Verfahrenskosten auferlegt werden, die sie durch die Verletzung von Verfahrenspflichten oder durch treuwidriges Verhalten verursacht hat (Art. 63 Abs. 3 VwVG i.V.m. Art. 3 des Reglements vom 11. Dezember 2006 über die Kosten und Entschädigungen vor dem Bundesverwaltungsgericht [VGKE, SR 173.320.2]; Urteil des BGer 2A.474/2002 E. 7.2 vom 17. März 2003 E. 7.2). Der Rechtsvertreter des Beschwerdeführers stellte erneut ein Rechtsbegehren, über welches bereits mehrfach befunden worden ist (vorliegend Bestätigung der Zufälligkeit beziehungsweise der Offenlegung der objektiven Kriterien der Zusammensetzung des Spruchkörpers). Trotz der Gutheissung der Beschwerde ist es folglich gerechtfertigt, ihm androhungsgemäss (vgl. etwa Urteil des BVGer D-4191/2018 vom 8. August 2018 E. 13.2) die unnötig verursachten Kosten des Begehrens, über welches vorliegend befunden wurde, persönlich aufzuerlegen. Die diesbezüglichen Kosten sind auf Fr. 100.- festzusetzen (vgl. Art. 6 AsylG i.V.m. Art. 66 Abs. 3 BGG; u.a. Urteil des BGer 5D_56/2018 vom 18. Juli 2018 E. 6).</w:t>
      </w:r>
    </w:p>
    <w:p>
      <w:r>
        <w:rPr>
          <w:b/>
        </w:rPr>
        <w:t>E. 7.2</w:t>
      </w:r>
    </w:p>
    <w:p>
      <w:r>
        <w:t>Dem vertretenen Beschwerdeführer ist angesichts seines Obsiegens in Anwendung von Art. 64 VwVG und Art. 7 Abs. 1 VGKE eine Entschädigung für die ihm notwendigerweise erwachsenen Parteikosten zuzusprechen. Der Rechtsvertreter des Beschwerdeführers hat keine Kostennote eingereicht. Auf die Nachforderung einer solchen kann jedoch verzichtet werden, da sich im vorliegenden Verfahren der Aufwand zuverlässig abschätzen lässt (Art. 14 Abs. 2 VGKE). Entschädigungspflichtig ist nur der notwendige Aufwand, weshalb es zu berücksichtigen gilt, dass die Beschwerdeeingaben sowohl redundante Passagen als auch weitschweifige Ausführungen zur allgemeinen Lage in Sri Lanka, welche sich auch in den Eingaben des Rechtsvertreters in anderen Beschwerdeverfahren finden, enthalten. Die von der Vorinstanz zu entrichtende Parteientschädigung ist in Berücksichtigung dieser Umstände sowie der übrigen massgeblichen Bemessungsfaktoren (vgl. Art. 8 ff. VGKE) auf Fr. 1'500.- (inkl.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