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D-7349/2015 vom 10. Juli 2017</w:t>
      </w:r>
    </w:p>
    <w:p>
      <w:r>
        <w:t>Bundesverwaltungsgericht, 2017-07-10, DE</w:t>
      </w:r>
    </w:p>
    <w:p>
      <w:r>
        <w:rPr>
          <w:b/>
        </w:rPr>
        <w:t xml:space="preserve">Quelle: </w:t>
      </w:r>
      <w:r>
        <w:t>https://mcp.opencaselaw.ch/entscheid/bvger_D-7349_2015</w:t>
      </w:r>
    </w:p>
    <w:p>
      <w:r>
        <w:t>FR: TAF D-7349/2015 du 10 juillet 2017</w:t>
      </w:r>
    </w:p>
    <w:p>
      <w:r>
        <w:t>IT: TAF D-7349/2015 del 10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Aufgrund der in der zu klärenden Rechtsfrage neuergangenen Rechtsprechung des Bundesverwaltungsgerichts (Urteil D-7853/2015 vom 31. Mai 2017 E. 13, zur Publikation als Referenzurteil vorgesehen), erweist sich die Beschwerde im Urteilszeitpunkt als offensichtlich begründet,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6</w:t>
      </w:r>
    </w:p>
    <w:p>
      <w:r>
        <w:t>Vorab ist zu prüfen, ob das SEM aufgrund der Aktenlage berechtigterweise davon ausgehen durfte, dass der Beschwerdeführer nicht minderjährig sei.</w:t>
      </w:r>
    </w:p>
    <w:p>
      <w:r>
        <w:rPr>
          <w:b/>
        </w:rPr>
        <w:t>E. 6.1</w:t>
      </w:r>
    </w:p>
    <w:p>
      <w:r>
        <w:t>Grundsätzlich trägt nach Lehre und Praxis die asylsuchende Person die Beweislast für die von ihr behauptete Minderjährigkeit (vgl. bereits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6.2</w:t>
      </w:r>
    </w:p>
    <w:p>
      <w:r>
        <w:t>Der Beschwerdeführer gab in der Befragung als Geburtsdatum den [Datum] an (vgl. act. A8/13, F. 1.06). Im Jahr vor seiner Flucht aus dem Iran sei ihm eine Tazkira ausgestellt worden, gemäss der er zu diesem Zeitpunkt 14 Jahre alt gewesen sei. Im Lauf des Verfahrens reichte er die Tazkira zunächst in Kopie, dann im Original zu den Akten. Auf dem Dokument ist als Geburtsdatum der (...) vermerkt, was nach europäischem Kalender dem (...) entspricht.</w:t>
      </w:r>
    </w:p>
    <w:p>
      <w:r>
        <w:rPr>
          <w:b/>
        </w:rPr>
        <w:t>E. 6.3</w:t>
      </w:r>
    </w:p>
    <w:p>
      <w:r>
        <w:t>Das SEM zweifelte die Minderjährigkeit des Beschwerdeführers offensichtlich bereits vor der Durchführung der BzP (am 25. August 2015) an, da es schon vorab den Auftrag zur Durchführung einer Handknochenaltersanalyse erteilte (vgl. Akten A4, und A6). Die Analyse ergab ein Knochenalter von "19 Jahren oder mehr". Im Rahmen der BzP teilte die Vor-instanz dem Beschwerdeführer mit, er werde gestützt auf dieses Ergebnis, aufgrund seiner ungenauen Herkunftsangaben sowie seines Erscheinungsbildes und weil er ohne plausible Gründe keine Identitätspapiere eingereicht habe, als volljährig erachtet, und er werde mit dem Geburtsdatum 1. Januar 1997 erfasst.</w:t>
      </w:r>
    </w:p>
    <w:p>
      <w:r>
        <w:rPr>
          <w:b/>
        </w:rPr>
        <w:t>E. 6.4</w:t>
      </w:r>
    </w:p>
    <w:p>
      <w:r>
        <w:t>Gemäss konstanter Praxis des Bundesverwaltungsgerichts lässt eine Knochenaltersanalyse keine wissenschaftlich zuverlässigen Aussagen zur Frage zu, ob eine Person das 18. Altersjahr bereits erreicht hat (vgl. bereits EMARK 2004 Nr. 30 E. 6.2). Eine solche Analyse gilt - falls gewisse formale und inhaltliche Erfordernisse erfüllt sind (vgl. Urteil des Bundesverwaltungsgerichts E-5860/2013 vom 6. Januar 2014 E. 5.2 m.w.H., EMARK 2004 Nr. 31) - nur unter bestimmten Voraussetzungen, nämlich ausschliesslich dann, wenn der Unterschied zwischen dem angegebenen Alter und dem festgestellten Knochenalter mehr als drei Jahre beträgt, als Beweismittel für die Unrichtigkeit einer Altersangabe. Nur in einem solchen Fall kann die festgestellte Unrichtigkeit der Altersangabe ein (blosses) Indiz für die Annahme der Unglaubhaftigkeit einer behaupteten Minderjährigkeit darstellen. Vorliegend beträgt die Differenz zwischen dem angegebenen Alter des Beschwerdeführers und dem Knochenalter gemäss Analyse ungefähr drei bis dreieinhalb Jahre und liegt damit in dem Bereich, in dem das Ergebnis einer radiologischen Knochenaltersanalyse als Beweis für die Volljährigkeit herangezogen werden kann. Es ist davon auszugehen, dass die nötigen formalen und inhaltlichen Anforderungen an die Analyse erfüllt wurden.</w:t>
      </w:r>
    </w:p>
    <w:p>
      <w:r>
        <w:rPr>
          <w:b/>
        </w:rPr>
        <w:t>E. 6.5</w:t>
      </w:r>
    </w:p>
    <w:p>
      <w:r>
        <w:t>Betreffend der eingereichten Tazkira ist folgendes festzustellen: Eine Tazkira ist kein fälschungssicheres Dokument, weshalb hinsichtlich der Frage der Identität von Inhabern und Inhaberinnen eines solchen Dokuments praxisgemäss von einem reduzierten Beweiswert auszugehen ist. Indessen ist es nicht statthaft, eine Tazkira ohne genauere Betrachtung als gefälscht zu deklarieren (vgl. BVGE 2013/30 E. 4.2.2, mit weiteren Hinweisen). Hinsichtlich des Alters eines Asylgesuchstellers ist zudem darauf hinzuweisen, dass auf der Tazkira in der Regel kein Geburtsdatum genannt, sondern lediglich festgehalten wird, der Inhaber sei im Ausstellungsjahr in einem bestimmten Alter, so dass aufgrund der Angaben eine mögliche Altersspanne von fast einem Jahr besteht. Zudem gelten amtliche Dokumente ausländischer Staaten, deren Zweck es ist, die Identität ihres Inhabers nachzuweisen,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6.6</w:t>
      </w:r>
    </w:p>
    <w:p>
      <w:r>
        <w:t>Der Beschwerdeführer gab in der Befragung als Geburtsdatum den (...) an (vgl. act. A8/13, F. 1.06). Im Jahr vor seiner Flucht sein ihm eine Tazkira ausgestellt worden, gemäss der er zu diesem Zeitpunkt 14 Jahre alt gewesen sei. Er glaube, die Tazkira sei in Afghanistan erstellt worden, wisse aber nicht genau wo und wie sein Vater das gemacht habe (vgl. ebenda, F. 1.04) und auch nicht wann (vgl. ebenda). Der Vater sei aber nicht selbst nach Afghanistan gegangen. Dieses Vorbringen erscheint wenig plausibel. Es ist merkwürdig, dass dem Beschwerdeführer sozusagen aus der Ferne ein bestimmtes Alter attestiert werden kann, obwohl er nach eigenen Angaben über keine weiteren identitätsbelegenden Dokumente verfügte (vgl. ebenda, F. 4). Bei dieser Ausgangslage liegt die Vermutung nahe, dass es sich bei der eingereichten Tazkira um eine Fälschung oder um ein gekauftes Dokument handelt, daher ist sie als Beweismittel vorliegend nicht tauglich.</w:t>
      </w:r>
    </w:p>
    <w:p>
      <w:r>
        <w:rPr>
          <w:b/>
        </w:rPr>
        <w:t>E. 6.7</w:t>
      </w:r>
    </w:p>
    <w:p>
      <w:r>
        <w:t>In der BzP versuchte der Beschwerdeführer auch zu erklären, warum er vor verschiedenen Behörden unterschiedliche Altersangaben gemacht habe (vgl. act. A8/13, F. 1.04, 8.01). Auch diese Erklärungen sind nicht sehr überzeugend. Es fällt zudem auf, dass die Angaben des Beschwerdeführers zu seiner Familie und seinem Lebenslauf bis zur Einreise in die Schweiz sehr vage sind. Im Rahmen einer Gesamtwürdigung der Vorbringen des Beschwerdeführers und der bei den Akten liegenden Dokumente gelangt das Bundesverwaltungsgericht zum Schluss, dass der Beschwerdeführer mit überwiegender Wahrscheinlichkeit volljährig ist. Die Vor-instanz ging deshalb zu Recht davon aus, dass der Beschwerdeführer seine Minderjährigkeit nicht glaubhaft gemacht hatte. Der Verzicht auf die Beiordnung einer Vertrauensperson ist daher nicht zu beanstanden. Aus diesen Gründen kann sich der Beschwerdeführer nicht auf die in Art. 6 Dublin-III-VO formulierten Schutzbestimmungen für Minderjährige berufen.</w:t>
      </w:r>
    </w:p>
    <w:p>
      <w:r>
        <w:rPr>
          <w:b/>
        </w:rPr>
        <w:t>E. 7.1</w:t>
      </w:r>
    </w:p>
    <w:p>
      <w:r>
        <w:t>Der Beschwerdeführer brachte des Weiteren vor, eine Überstellung nach Ungarn verletze die Garantien der EMRK sowie der Flüchtlingskonvention. Auch drohe ihm nach der Rückkehr nach Ungarn die Kettenabschiebung, weshalb ihm aus der Überstellung ein nichtwiedergutzumachender Nachteil entstehen würde. In der zweiten Replik vom 1. September 2016 wurde zudem darauf verwiesen, dass eine Überstellung nach Ungarn aufgrund der drohenden Inhaftierung und der schlechten Unterbringungssituation einer unmenschlichen und entwürdigenden Behandlung gleichkomme, weshalb das SEM in Wahrnehmung seiner völkerrechtlichen Verpflichtungen den Selbsteintritt der Schweiz im Sinne von Art. 3 Abs. 2 Dublin-III-VO anordnen müsse.</w:t>
      </w:r>
    </w:p>
    <w:p>
      <w:r>
        <w:rPr>
          <w:b/>
        </w:rPr>
        <w:t>E. 7.2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7.3</w:t>
      </w:r>
    </w:p>
    <w:p>
      <w:r>
        <w:t>Das Bundesverwaltungsgericht hat im Urteil 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7.4</w:t>
      </w:r>
    </w:p>
    <w:p>
      <w:r>
        <w:t>Aus den obigen Erwägungen ist es dem Gericht auch vorliegend nicht möglich, die Vorbringen der Beschwerde vom 20. März 2015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8</w:t>
      </w:r>
    </w:p>
    <w:p>
      <w:r>
        <w:t>Bei diesem Ausgang des Verfahrens sind keine Kosten zu erheben (Art. 63 Abs. 1 und 2 VwVG), ohnehin war das Gesuch um Gewährung der unentgeltlichen Prozessführung mit Verfügung vom 19. November 2015 gutgeheissen worden.</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den entstandenen Aufwand in der Kostennote vom 14. Dezember 2015 dargelegt. Dieser erscheint angemessen. Es wird eine Parteientschädigung von Fr. 1657.50 festgesetzt.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