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D-7345/2009 vom 23. September 2010</w:t>
      </w:r>
    </w:p>
    <w:p>
      <w:r>
        <w:t>Bundesverwaltungsgericht, 2010-09-23, DE</w:t>
      </w:r>
    </w:p>
    <w:p>
      <w:r>
        <w:rPr>
          <w:b/>
        </w:rPr>
        <w:t xml:space="preserve">Quelle: </w:t>
      </w:r>
      <w:r>
        <w:t>https://mcp.opencaselaw.ch/entscheid/bvger_D-7345_2009</w:t>
      </w:r>
    </w:p>
    <w:p>
      <w:r>
        <w:t>FR: TAF D-7345/2009 du 23 septembre 2010</w:t>
      </w:r>
    </w:p>
    <w:p>
      <w:r>
        <w:t>IT: TAF D-7345/2009 del 23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form- und fristgerecht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4.2</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5</w:t>
      </w:r>
    </w:p>
    <w:p>
      <w:r>
        <w:t>Aufgrund der Herkunft der Beschwerdeführenden dürfte ein Teil der Vorbringen durchaus der Realität entsprechen. Dass sie wegen der kriegerischen Auseinandersetzungen sowohl gewissen Pressionen der Sicherheitskräfte, der LTTE oder auch unbekannter Dritter ausgesetzt gewesen sind, kann jedenfalls nicht als von vornherein unglaubhaft bezeichnet werden. Auch ist denkbar, dass sich solche Beeinträchtigungen nach Beendigung des Krieges und der Übersiedlung der Beschwerdeführenden nach Colombo dort fortsetzten. Hingegen ist mit dem BFM davon auszugehen, dass die Beschwerdeführenden in keiner Weise ein Profil aufweisen, welches erwarten lässt, dass sie heute von einschneidenden Verfolgungsmassnahmen seitens der Behörden betroffen werden könnten. Allfälligen behördlichen Kontrollen, denen sie - wie sehr viele andere in Colombo lebende Personen - ausgesetzt sein könnten, stellen sodann keine Massnahmen dar, die bezüglich ihrer Dauer und Eingriffsintensität als ernsthafte Nachteile im Sinne von Art. 3 AsylG zu bezeichnen sind. Hinsichtlich der geltend gemachten Übergriffe durch EPDP-Leute handelt es sich um Nachstellungen Dritter, die asylrechtlich nicht relevant sind. Den Akten ist unter anderem zu entnehmen, dass die Beschwerdeführerin deswegen wiederholt bei der Polizei vorstellig worden war. Nähere Hinweise oder Aufschlüsse, dass ihr und der Familie die anbegehrte Hilfe von der Polizei gezielt verweigert worden wäre, lassen sich den diversen Schreiben (vgl. Bst. G) nicht entnehmen. Im Übrigen wird in diesen Schreiben bezugnehmend auf einzelne Vorfälle bloss in unsubstanziierter Art und Weise auf die missliche Situation (psychischer Druck, Angst der Kinder, kein Schutz, keine Aufenthaltsalternative in Sri Lanka, hohe Geldausgaben aufgrund von Erpressungen durch Unbekannte [EPDP Leute], Job-Verlust des Ehemannes, aus Angst Übernachtungen zeitweise ausserhalb des Hauses) hingewiesen, welche keine Asylrelevanz zu entfalten vermögen. Ferner ist in diesem Zusammenhang festzuhalten, dass die diversen Schreiben als Absender stets die gleiche Adresse aufweisen, mithin nichts auf eine Änderung des Wohnorts schliessen lässt, was sich kaum mit den geltend gemachten, immer wieder erlebten Widerwärtigkeiten und Beeinträchtigungen vereinbaren lässt. Darauf hinzuweisen ist ebenfalls, dass die Beschwerdeführenden vom Urelu Army Camp die Erlaubnis ("clearance") erhielten, X._______ zu verlassen und nach Colombo überzusiedeln, weil unter anderem die Beschwerdeführerin über eine Daueraufenthaltsbewilligung ("permanent residence permit") für Colombo verfügte (A31/12, S. 7; vgl. auch nachstehend). Dieser Umstand ist jedenfalls als ein klares Indiz dafür zu werten, dass die Beschwerdeführenden von der Armee nicht als Sicherheitsrisiko eingestuft wurden. Die Leute der EPDP, welche mit der srilankischen Armee zusammenarbeiteten, waren darüber offenbar ebenfalls im Bilde (A31/12, S. 6). Im Zusammenhang mit der Registrierung des Beschwerdeführers vierzehn Tage nach seiner Ankunft in Colombo sind diesem auch keine nennenswerten Schwierigkeiten entstanden (A31/12, S. 7). Vor diesem Hintergrund erscheinen die von den Beschwerdeführenden derart massiv geltend gemachten Behelligungen in Colombo als kaum nachvollziehbar. Zudem ist festzuhalten, dass begünstigende Faktoren wie die Verwurzelung der über erhebliche finanzielle Mittel verfügenden Beschwerdeführerin in Colombo (u.a. Vater [...] in Colombo [...]; Aufenthalt in Colombo [...]) sowie die ebenfalls langjährigen Aufenthalte des der [...] Sprache mächtigen Beschwerdeführers in Colombo nicht ein Bild entstehen lassen, wonach die Beschwerdeführenden wegen akuter Gefährdung auf den Schutz der Schweiz angewiesen sind (A19/13, S. 2 und 3 sowie A31/12, S. 2). Angesichts der durchwegs unsubstanziierten und damit unglaubhaften Schilderungen der Beschwerdeführenden, insbesondere aber aufgrund der Beschwerdeeingabe vom 18. November 2009, in welcher sich die Beschwerdeführenden mit den vorinstanzlichen Erwägungen in keiner Weise auseinandersetzen, nähere Hinweise oder Aufschlüsse für eine asylrelevante Gefährdungssituation schuldig bleiben und letztlich bloss gestützt auf "humanitäre und verständnisvolle Gründe" ("humanitarian and sympathetic grounds") einen günstigen Entscheid herbeiwünschen, erübrigen sich weitere Erörterungen.</w:t>
      </w:r>
    </w:p>
    <w:p>
      <w:r>
        <w:rPr>
          <w:b/>
        </w:rPr>
        <w:t>E. 6</w:t>
      </w:r>
    </w:p>
    <w:p>
      <w:r>
        <w:t>Zusammenfassend ist festzustellen, dass die Beschwerdeführenden keine Verfolgung im Sinne von Art. 3 AsylG glaubhaft machen konnten und nicht als Flüchtlinge anerkannt werden können. Das BFM hat demnach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