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D-7333/2010 vom 8. Juni 2011</w:t>
      </w:r>
    </w:p>
    <w:p>
      <w:r>
        <w:t>Bundesverwaltungsgericht, 2011-06-08, DE</w:t>
      </w:r>
    </w:p>
    <w:p>
      <w:r>
        <w:rPr>
          <w:b/>
        </w:rPr>
        <w:t xml:space="preserve">Quelle: </w:t>
      </w:r>
      <w:r>
        <w:t>https://mcp.opencaselaw.ch/entscheid/bvger_D-7333_2010</w:t>
      </w:r>
    </w:p>
    <w:p>
      <w:r>
        <w:t>FR: TAF D-7333/2010 du 8 juin 2011</w:t>
      </w:r>
    </w:p>
    <w:p>
      <w:r>
        <w:t>IT: TAF D-7333/2010 del 8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Es ist mithin nicht an die Begründung der Begehren gebunden und kann den Entscheid auch aus anderen Gründen gutheissen oder abweisen.</w:t>
      </w:r>
    </w:p>
    <w:p>
      <w:r>
        <w:rPr>
          <w:b/>
        </w:rPr>
        <w:t>E. 3.1</w:t>
      </w:r>
    </w:p>
    <w:p>
      <w:r>
        <w:t>Gemäss Art. 17 Abs. 2 AsylG i.V.m. Art. 6 der Asylverordnung 1 über Verfahrensfragen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Das Geschlecht soll nach Möglichkeit auch bei der Auswahl der Personen, die als Dolmet­scher eingesetzt werden und das Protokoll führen, berücksichtigt werden. Art. 6 AsylV 1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(Urteil des Bundesverwaltungsgerichts E-1643/2008 vom 7. Februar 2011 E. 3.1 mit Hinweis auf EMARK 2003 Nr. 2 E. 5).</w:t>
      </w:r>
    </w:p>
    <w:p>
      <w:r>
        <w:rPr>
          <w:b/>
        </w:rPr>
        <w:t>E. 3.2</w:t>
      </w:r>
    </w:p>
    <w:p>
      <w:r>
        <w:t>Vorliegend bestanden aufgrund der Vorbringen des Beschwerdeführers an der Erstbefragung genügend konkrete Indizien, welche als "Hinweise auf geschlechtsspezifische Verfolgung" im soeben umschriebenen Sinne zu beachten gewesen wären und daher der Vorinstanz zu entsprechenden Vorkehren für die Anhörung hätten Anlass geben müssen. So machte der Beschwerdeführer bereits anlässlich der Befragung in der Empfangsstelle geltend, er sei an den Genitalien gefoltert worden (A1 S. 5). Gemäss herrschender Praxis hätte zur Anhörung ein reines Männerteam aufgeboten werden müssen. Dessen ungeachtet wurde der Beschwerdeführer am 3. Februar 2009 im Beisein einer Protokollführerin angehört. Der Beschwerdeführer hat denn auch unverzüglich nach der Anhörung darauf hingewiesen, es sei ihm nicht möglich gewesen, die erlebten sexuellen Übergriffe frei zu schildern. Damit hat die Vorinstanz das rechtliche Gehör des Beschwerdeführers verletzt. Der Einwand der Vorinstanz kann nicht gehört werden, der Sachverhalt sei dennoch als genügend erstellt zu betrachten, zumal die Glaubwürdigkeit der Vorbringen nicht an deren Substanz gescheitert sei, sondern an deren Widersprüchlichkeit und der fehlenden Realitätsnähe. Gerade auch Widersprüche hätten allenfalls bei einer freien Erzählung aus dem Weg geräumt werden können, was offensichtlich auch bezüglich der fehlenden Realitätsnähe gelten muss. Auch dass der Beschwerdeführer an der Befragung allenfalls nicht von einer männlichen Person begleitet wurde, ändert an diesen Erwägungen nichts. Der Beschwerdeführer stand im Gegensatz zu der ihn anhörenden Behörde zu seinem Anwalt und zu den von diesem beauftragten Personen in einem Vertrauensverhältnis. Nach dem Gesagten kann jedenfalls nicht ausgeschlossen werden, dass der Beschwerdeführer aus Scham gegenüber der bei der Anhörung anwesenden weiblichen Protokollführerin darauf verzichtet hat, die geltend gemachten Folterungen und allenfalls weitere Übergriffe frei zu schildern.</w:t>
      </w:r>
    </w:p>
    <w:p>
      <w:r>
        <w:rPr>
          <w:b/>
        </w:rPr>
        <w:t>E. 3.3</w:t>
      </w:r>
    </w:p>
    <w:p>
      <w:r>
        <w:t>Damit ergibt sich, dass das Bundesamt dadurch, dass es den Be­schwerdeführer trotz klaren Hinweisen auf eine geschlechtsspezifische Verfolgung nicht durch ein reines Männerteam zu seinen Asylgründen anhören liess, den Anspruch auf rechtliches Gehör verletzt und den rechtserheblichen Sachverhalt unrichtig respektive unvollständig festgestellt hat.</w:t>
      </w:r>
    </w:p>
    <w:p>
      <w:r>
        <w:rPr>
          <w:b/>
        </w:rPr>
        <w:t>E. 4.1</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4.2</w:t>
      </w:r>
    </w:p>
    <w:p>
      <w:r>
        <w:t>Vorliegend ist der rechtserhebliche Sachverhalt nicht richtig und vollständig festgestellt worden. Es kann nicht Sinn des Beschwerdeverfahrens sein, für eine vollständige Feststellung des rechtserheblichen Sachverhalts zu sorgen, wenn im vorinstanzlichen Verfahren die erforderlichen Sachverhaltsabklärungen unterblieben. Vorliegend ist es insbesondere nicht Sache des Bundesverwaltungsgerichts, die vom BFM pflichtwidrig unterlassene Anhörung des Beschwerdeführers durch ein reines Männerteam nachzuholen. Diese Ab­klä­rungen überschreiten in ihrem Umfang und ihrer Dauer den für das Bun­desverwaltungsgericht vertretbaren Aufwand. Demzufolge kann der vorliegende Mangel auf Beschwerdeebene nicht geheilt werden. Gegen eine Heilung des Verfahrensmangels spricht insbeson­dere auch der Umstand, dass dem Beschwerdeführer andernfalls eine In­stanz verloren ginge.</w:t>
      </w:r>
    </w:p>
    <w:p>
      <w:r>
        <w:rPr>
          <w:b/>
        </w:rPr>
        <w:t>E. 4.3</w:t>
      </w:r>
    </w:p>
    <w:p>
      <w:r>
        <w:t>Nach dem Gesagten erscheint es sachgerecht, das Verfahren an die Vorinstanz zurückzuweisen, damit diese die nötigen Massnahmen (Anhörung des Beschwerdeführers durch ein reines Männerteam) vornimmt und die Sache im Rahmen eines neuen beschwerdefähigen Entscheides einer rechtlichen Würdigung unterzieht. Die Beschwerde ist infolgedes­sen gutzuheissen und die angefochtene Verfügung aufzuheben.</w:t>
      </w:r>
    </w:p>
    <w:p>
      <w:r>
        <w:rPr>
          <w:b/>
        </w:rPr>
        <w:t>E. 5.1</w:t>
      </w:r>
    </w:p>
    <w:p>
      <w:r>
        <w:t>Bei diesem Ausgang des Beschwerdeverfahrens sind keine Verfah­renskosten aufzuerlegen (Art. 63 Abs. 1 VwVG).</w:t>
      </w:r>
    </w:p>
    <w:p>
      <w:r>
        <w:rPr>
          <w:b/>
        </w:rPr>
        <w:t>E. 5.2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Seitens der Rechtsvertretung liegt keine Kostennote vor. Aufgrund der Akten lässt sich der Parteiaufwand jedoch hinreichend zuverlässig abschätzen, weshalb der Antrag auf Fristansetzung zur Einreichung einer Kostennote abzuweisen und die Entschädigung für das Beschwerdeverfahren aufgrund der Akten festzusetzen ist (Art. 14 Abs. 2 in fine VGKE). Unter Berücksichtigung der massgebenden Bemessungsfaktoren (Art. 9 - 13 VGKE) und der Entschädigungspraxis in Vergleichsfällen ist das BFM anzuweisen, dem Beschwerdeführer für das Rechtsmittelverfahren eine Parteientschädigung in der Höhe von pauschal Fr. 1440. (inkl. Auslagen und allfälliger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