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D-7331/2018 vom 12. Oktober 2020</w:t>
      </w:r>
    </w:p>
    <w:p>
      <w:r>
        <w:t>Bundesverwaltungsgericht, 2020-10-12, FR</w:t>
      </w:r>
    </w:p>
    <w:p>
      <w:r>
        <w:rPr>
          <w:b/>
        </w:rPr>
        <w:t xml:space="preserve">Quelle: </w:t>
      </w:r>
      <w:r>
        <w:t>https://mcp.opencaselaw.ch/entscheid/bvger_D-7331_2018</w:t>
      </w:r>
    </w:p>
    <w:p>
      <w:r>
        <w:t>FR: TAF D-7331/2018 du 12 octobre 2020</w:t>
      </w:r>
    </w:p>
    <w:p>
      <w:r>
        <w:t>IT: TAF D-7331/2018 del 12 ottobre 2020</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dernières dispositions de la modification du 25 septembre 2015 de la loi du 26 juin 1998 sur l'asile sont entrées en vigueur le 1er mars 2019 (cf. RO 2018 2855). En ce qui concerne la présente procédure, elle est régie par l'ancien droit (cf. al. 1 des dispositions transitoires de la modification du 25 septembre 2015, RO 2016 3101).</w:t>
      </w:r>
    </w:p>
    <w:p>
      <w:r>
        <w:rPr>
          <w:b/>
        </w:rPr>
        <w:t>E. 1.3</w:t>
      </w:r>
    </w:p>
    <w:p>
      <w:r>
        <w:t>Les dernières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1.4</w:t>
      </w:r>
    </w:p>
    <w:p>
      <w:r>
        <w:t>Les intéressés ont qualité pour recourir (cf. art. 48 al. 1 PA). Présenté dans la forme (cf. art. 52 al. 1 PA) et le délai (cf. anc. art. 108 al. 1 LAsi) prescrits par la loi, le recours est recevable.</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A._______ n'a pas rendu vraisemblables les motifs d'asile à l'origine de sa fuite d'Iran. En effet, s'il avait effectivement déployé, durant huit à neuf ans, en faveur du PDKI, les nombreuses activités qu'il a alléguées, notamment sa participation à des manifestations lors d'anniversaires et de cérémonies commémoratives, à la récolte de fonds et d'aide matérielle pour la population, déclarant même qu'il avait aidé le parti « tout le temps » (cf. pv. du 29 octobre 2018, réponses aux questions 41 à 43 et 71 p. 6 et 10), il aurait eu d'autres contacts au sein du PDKI que ses deux compagnons de cellule (cf. pv. du 29 octobre 2018, réponses aux questions 62 et 91, p. 9 et 12). De même, ses activités sur la voie publique sont en contradiction avec sa déclaration selon laquelle il aurait toujours travaillé en secret, les activités publiques ayant pu lui coûter la vie (pv. du 29 octobre 2018, réponse à la question 92, p. 12). Ensuite, sa description relative à la surveillance des membres des pasdarans, à la récolte d'informations sur le personnel du ministère des renseignements et de la sécurité nationale (Ettelaat) et de la force armée des bassidji est exempte de détails et de consistance et est composée d'éléments stéréotypés (cf. pv. du 29 octobre 2018, réponses aux questions 82 à 85, p. 11 s.). A titre d'exemple, il a allégué avoir patrouillé en moto à trois ou quatre reprises le matin et observé comment les pasdarans déplaçaient des armes et arrêtaient des personnes pour les torturer, mais n'a mentionné aucune mesure de précaution particulière réaliste. Interrogé à ce sujet, l'intéressé a déclaré que « nous n'entrions pas dans ces endroits ». Cette mesure de précaution apparait pour le moins fantaisiste, du moins bien légère, compte tenu des personnes et des activités observées. De même, questionné sur le rendez-vous avec les autres membres de la cellule, il a mentionné sans aucune précision « qu'il y avait des barrages » (cf. pv. du 29 octobre 2018, réponses aux questions 94 à 96, p. 13). De plus, même à supposer que ces activités devaient être vraisemblables, l'intéressé n'est jamais tombé dans le collimateur des autorités pour ce motif jusqu'à son départ d'Iran, n'ayant pas connu de problèmes avec celles-ci (cf. procès-verbal d'audition [pv.] 27 septembre 2018, pt. 7.01, p. 8 s.). Enfin, s'agissant de la prise d'assaut par les pasdarans de sa demeure où séjournaient des peshmergas - l'événement ayant motivé sa fuite immédiate d'Iran -, si elle s'était réellement produite, l'intéressé n'aurait pas manqué d'obtenir ultérieurement des informations à ce sujet auprès des membres de sa famille restés sur place, lors de ses contacts avec ceux-ci. Il n'est ainsi pas crédible que leurs entretiens n'aient porté que sur son « shenasnameh » et son permis de conduire (cf. pv. du 29 octobre 2018, réponses aux questions 107, 108, 112 et 113, p. 14 s.). L'intéressé n'a pas non plus produit de moyens de preuve susceptibles de démontrer qu'il avait été recherché ou fait l'objet d'une procédure suite à cet événement, ce qui n'aurait pas manqué d'être le cas si les autorités iraniennes avaient découvert qu'il avait abrité des peshmergas dans sa demeure. S'agissant de l'appartenance des membres de sa famille au PDKI, que l'intéressé dit être connu des autorités iraniennes pour son opposition au régime en place, il y a lieu d'abord de constater qu'elle repose sur une simple affirmation de sa part, étayée par aucun début de preuve. De plus, il n'a connu aucun problème jusqu'à son départ d'Iran pour ce motif.</w:t>
      </w:r>
    </w:p>
    <w:p>
      <w:r>
        <w:rPr>
          <w:b/>
        </w:rPr>
        <w:t>E. 3.2</w:t>
      </w:r>
    </w:p>
    <w:p>
      <w:r>
        <w:t>Dès lors que les éléments plaidant pour l'absence de vraisemblance des faits allégués l'emportent clairement sur ceux qui parlent en faveur de la vraisemblance, les motifs d'asile des intéressés ne remplissent pas les exigences de haute probabilité posées par l'art. 7 LAsi. Leur crainte d'être exposés à de sérieux préjudices en cas de retour en Iran n'est donc pas objectivement fondée, au sens de l'art. 3 LAsi. Au vu de ce qui précède, l'attestation du PDKI de Suisse du 12 décembre 2018, faisant état d'activités politiques de l'intéressé en Iran, n'est pas pertinente, n'étant pas susceptible de tenir en échec les éléments d'invraisemblance relevés. Il en est de même de l'attestation d'un représentant de « the Association for Human Rights in Kurdistan of Iran-Geneva » du 18 décembre 2018, du rapport intermédiaire du 14 novembre 2018 et du rapport annuel 2017 du 28 février 2018 de ladite association, ainsi que des rapports de « Human Rights Council » des 5 mars et 27 septembre 2018, ces documents relatant des violations des droits de l'homme en Iran, à savoir des informations générales et abstraites ne concernant les intéressés ni directement ni concrètement.</w:t>
      </w:r>
    </w:p>
    <w:p>
      <w:r>
        <w:rPr>
          <w:b/>
        </w:rPr>
        <w:t>E. 3.3</w:t>
      </w:r>
    </w:p>
    <w:p>
      <w:r>
        <w:t>Le recours, sous l'angle de la reconnaissance de la qualité de réfugié et de l'octroi de l'asile doit être ainsi rejeté et le dispositif de la décision du 30 novembre 2018 confirmé sur ces points.</w:t>
      </w:r>
    </w:p>
    <w:p>
      <w:r>
        <w:rPr>
          <w:b/>
        </w:rPr>
        <w:t>E. 4.1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 (RS 101).</w:t>
      </w:r>
    </w:p>
    <w:p>
      <w:r>
        <w:rPr>
          <w:b/>
        </w:rPr>
        <w:t>E. 4.2</w:t>
      </w:r>
    </w:p>
    <w:p>
      <w:r>
        <w:t>En l'espèce, aucune exception à la règle générale du renvoi n'étant en l'occurrence réalisée, le Tribunal est tenu, de par la loi, de confirmer cette mesure (cf. ATAF 2012/31 consid. 6.2, ATAF 2009/50 consid. 9).</w:t>
      </w:r>
    </w:p>
    <w:p>
      <w:r>
        <w:rPr>
          <w:b/>
        </w:rPr>
        <w:t>E. 5.1</w:t>
      </w:r>
    </w:p>
    <w:p>
      <w:r>
        <w:t>L'exécution du renvoi est ordonnée si elle est licite, possible et peut raisonnablement être exigée. Si ces conditions ne sont pas réunies, l'admission provisoire doit être prononcée (art. 83 al. 1 LEI).</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les intéressés n'ayant pas la qualité de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6.3.2</w:t>
      </w:r>
    </w:p>
    <w:p>
      <w:r>
        <w:t>Pour les motifs déjà exposés (cf. supra consid. 3), les recourants n'ont pas rendu hautement probable qu'ils seraient personnellement visés, en cas de retour dans leur pays d'origine, par des mesures incompatibles avec l'art. 3 CEDH ou d'autres dispositions contraignantes de droit international.</w:t>
      </w:r>
    </w:p>
    <w:p>
      <w:r>
        <w:rPr>
          <w:b/>
        </w:rPr>
        <w:t>E. 6.4</w:t>
      </w:r>
    </w:p>
    <w:p>
      <w:r>
        <w:t>Ainsi, l'exécution du renvoi des recourants, sous forme de refoulement, ne transgresse aucun engagement de la Suisse relevant du droit international, de sorte qu'elle s'avère licite (art. 44 LAsi et art. 83 al. 3 LEI).</w:t>
      </w:r>
    </w:p>
    <w:p>
      <w:r>
        <w:rPr>
          <w:b/>
        </w:rPr>
        <w:t>E. 7.1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7.3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7.4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7.5</w:t>
      </w:r>
    </w:p>
    <w:p>
      <w:r>
        <w:t>En l'occurrence,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rPr>
          <w:b/>
        </w:rPr>
        <w:t>E. 7.6</w:t>
      </w:r>
    </w:p>
    <w:p>
      <w:r>
        <w:t>Par ailleurs, il ne ressort pas du dossier que les recourants pourraient être mis concrètement en danger pour des motifs qui leur seraient propres. A._______ est jeune et possède une expérience professionnelle exercée dans son entreprise familiale en tant que [profession]. Les intéressés disposent encore en Iran d'un important réseau familial, soit autant d'éléments devant faciliter leur intégration. Enfin, leurs enfants, arrivés en Suisse à l'âge de quatre ans et âgés de six ans maintenant n'ont pas d'attaches à ce point solides dans ce pays qu'un retour en Iran pourrait constituer un véritable déracinement.</w:t>
      </w:r>
    </w:p>
    <w:p>
      <w:r>
        <w:rPr>
          <w:b/>
        </w:rPr>
        <w:t>E. 7.7.1</w:t>
      </w:r>
    </w:p>
    <w:p>
      <w:r>
        <w:t>S'agissant de l'état de santé de A._______,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2014/26 consid. 7.3 à 7.10; 2011/50 consid. 8.3).</w:t>
      </w:r>
    </w:p>
    <w:p>
      <w:r>
        <w:rPr>
          <w:b/>
        </w:rPr>
        <w:t>E. 7.7.2</w:t>
      </w:r>
    </w:p>
    <w:p>
      <w:r>
        <w:t>Selon les attestations médicales et le rapport médical du 25 août 2020, A._______ est suivi depuis le 3 juillet 2019 à la Consultation Psychothérapeutique pour Migrant-e-s. Il souffre d'un état de stress post-traumatique et d'un épisode dépressif moyen. Le traitement est constitué d'un suivi psychiatrique et psychothérapeutique et de séances d'ergothérapie. Même si les problèmes de santé de l'intéressé ne sauraient être minimisés, ils ne sont pas d'une gravité telle qu'ils puissent constituer un obstacle à l'exécution du renvoi au sens de la jurisprudence. D'abord, il y a lieu de rappeler que la péjoration de l'état psychique est une réaction qui peut être couramment observée chez une personne dont la demande de protection a été rejetée, sans qu'il faille pour autant y voir un obstacle sérieux à l'exécution du renvoi. Ensuite, les soins psychiatriques sont également accessibles en Iran. La plupart des médicaments y sont accessibles, dont les antidépresseurs et les anxiolytiques, et le gouvernement tente de garantir pour tous les Iraniens la gratuité des traitements médicaux et de l'approvisionnement en médicaments (cf. en ce sens arrêt du TAF E-2878/2019 du 27 juin 2019 consid. 5.3.2). En outre, en cas de besoin, il lui revient de mettre en place, avec l'aide de ses thérapeutes, les conditions lui permettant d'appréhender un retour dans son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De même, les autorités chargées de l'exécution du renvoi de l'intéressé devront prévoir un accompagnement par une personne dotée de compétences médicales ou par toute autre personne susceptible de lui apporter un soutien adéquat, s'il résultait d'un examen médical avant le départ qu'un tel accompagnement était nécessaire. Par ailleurs, il pourra, le cas échéant, constituer une réserve de médicaments, avant son départ de Suisse et, au besoin, présenter au SEM, après la clôture de la présente procédure, une demande d'aide au retour au sens de l'art. 93 LAsi.</w:t>
      </w:r>
    </w:p>
    <w:p>
      <w:r>
        <w:rPr>
          <w:b/>
        </w:rPr>
        <w:t>E. 7.8</w:t>
      </w:r>
    </w:p>
    <w:p>
      <w:r>
        <w:t>Enfin, le contexte actuel lié à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 (cf. arrêt du TAF D-4796/2019 du 27 avril 2019 consid. 8.9 D-1557/2020, 1554/2020 du 23 avril 2020 consid. 7.4, E-895/2020 du 15 avril 2020 consid. 9.6, D-1707/2020 du 15 avril 2020, E-6856/2017 du 6 avril 2020 consid. 9, D-5461/2019 du 26 mars 2020 consid. 7 et D-1282/2020 du 25 mars 2020 consid. 5.5).</w:t>
      </w:r>
    </w:p>
    <w:p>
      <w:r>
        <w:rPr>
          <w:b/>
        </w:rPr>
        <w:t>E. 7.9</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Il s'ensuit que le recours, en tant qu'il conteste la décision de renvoi et son exécution, doit être également rejeté.</w:t>
      </w:r>
    </w:p>
    <w:p>
      <w:r>
        <w:rPr>
          <w:b/>
        </w:rPr>
        <w:t>E. 10</w:t>
      </w:r>
    </w:p>
    <w:p>
      <w:r>
        <w:t>Vu l'issue de la cause et le rejet de la demande d'assistance judiciaire totale, il y aurait lieu de mettre les frais de procédure à la charge des recourants (cf. art. 63 al. 1 PA et art. 2 et 3 let. b du règlement du 21 février 2008 concernant les frais, dépens et indemnités fixés par le Tribunal administratif fédéral [FITAF, RS 173.320.2]). Dans le cas particulier toutefois, le Tribunal renonce à leur perception, à titre exceptionnel.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