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D-7318/2016 vom 17. Juni 2019</w:t>
      </w:r>
    </w:p>
    <w:p>
      <w:r>
        <w:t>Bundesverwaltungsgericht, 2019-06-17, DE</w:t>
      </w:r>
    </w:p>
    <w:p>
      <w:r>
        <w:rPr>
          <w:b/>
        </w:rPr>
        <w:t xml:space="preserve">Quelle: </w:t>
      </w:r>
      <w:r>
        <w:t>https://mcp.opencaselaw.ch/entscheid/bvger_D-7318_2016</w:t>
      </w:r>
    </w:p>
    <w:p>
      <w:r>
        <w:t>FR: TAF D-7318/2016 du 17 juin 2019</w:t>
      </w:r>
    </w:p>
    <w:p>
      <w:r>
        <w:t>IT: TAF D-7318/2016 del 17 giugno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132.41]; Art. 83 Bst. d Ziff. 1 BGG). Eine solche Ausnahme im Sinne von Art. 83 Bst. d Ziff. 1 BGG liegt nicht vor, weshalb das Bundesverwaltungsgericht in casu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Für das vorliegende Verfahren gilt das bisherige Recht (vgl. Abs. 1 der Übergangsbestimmungen zur Änderung des AsylG vom 25. September 2015).</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gemäss Art. 7 AsylG die Flüchtlingseigenschaft nachweisen oder zumindest glaubhaft machen. 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die gesuchstellende Person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Eine Behauptung gilt bereits als glaubhaft gemacht, wenn der Richter oder die Richterin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BVGE 2012/5 E. 2.2 S. 43 f., BVGE 2010/57 E. 2.3 S. 826 f.).</w:t>
      </w:r>
    </w:p>
    <w:p>
      <w:r>
        <w:rPr>
          <w:b/>
        </w:rPr>
        <w:t>E. 4.1</w:t>
      </w:r>
    </w:p>
    <w:p>
      <w:r>
        <w:t>Die Vorinstanz hat die zentralen Vorbringen des Beschwerdeführers, wegen der beruflichen und gesellschaftlichen Stellung seines Vaters sei dieser und dessen Familie wiederholt von Unbekannten bedroht und behelligt worden, als nicht asylrelevant erachtet. Sie führte aus, dass nicht zu bestreiten sei, dass die Familie des Beschwerdeführers aufgrund der beruflichen und gesellschaftlichen Stellung des Vaters für kriminelle Banden oder andere Gruppierungen von besonderem Interesse sein könne. Indessen seien Verfolgungsmassnahmen durch nichtstaatliche Dritte flüchtlingsrechtlich nicht relevant, wenn es der betroffenen Person möglich sei, davor im Heimatstaat adäquaten Schutz zu erhalten. In B._______, dem Wohnsitz der Familie, sei die Sicherheitslage besser als an den meisten anderen Orten in Afghanistan. Trotz der instabilen Sicherheitslage in den Regionen um die Stadt und der Zunahme von Anschlägen in B._______ selbst werde diese als ruhig und stabil bezeichnet und gelte als sicherste Stadt Afghanistans. Die Inanspruchnahme eines innerstaatlichen Schutzsystems müsse dem Betroffenen objektiv möglich und individuell zumutbar sein. Vorliegend sei davon auszugehen, dass der Vater des Beschwerdeführers aufgrund seiner gesellschaftlichen Stellung und seinen Beziehungen auf Regierungsebene einen gewissen privilegierten Zugang zu den heimatlichen Behörden habe. Die lokalen Sicherheitsbehörden hätten denn auch nach dem Einbruch umgehend interveniert. Die übrigen Vorfälle - namentlich das Attentat in E._______ und die Ermordung des Mitarbeiters und Freundes des Vaters - hätten sich nicht direkt gegen den Beschwerdeführer oder seine Familie gerichtet. Die genauen Hintergründe der erwähnten Vorkommnisse seien dem Beschwerdeführer nach eigenen Angaben nicht bekannt (vgl. A16 S. 10). Schliesslich sei darauf hinzuweisen, dass die Eltern und Geschwister des Beschwerdeführers nach eigenen Angaben heute wieder in B._______ ausserhalb des Stadtzentrums und unter ständiger Bewachung durch Leibwächter leben würden.</w:t>
      </w:r>
    </w:p>
    <w:p>
      <w:r>
        <w:rPr>
          <w:b/>
        </w:rPr>
        <w:t>E. 4.2</w:t>
      </w:r>
    </w:p>
    <w:p>
      <w:r>
        <w:t>In seiner Beschwerde machte der Rechtsvertreter geltend, dass sich die Situation der Familie des Beschwerdeführers in der Zwischenzeit grundlegend verändert habe. Der Vater des Beschwerdeführers sei Ende September 2016 von Unbekannten - aus vermutlich regierungsnahen Kreisen - entführt worden. Zwei Tage nach der Entführung hätten die Entführer auf das Telefon eines Cousins des Beschwerdeführers angerufen. Der Cousin habe das Gespräch aufgenommen und ein Onkel des Beschwerdeführers habe die Aufzeichnung dem Beschwerdeführer per Viber übermittelt (Einreichung eines Sticks mit aufgezeichnetem Gespräch). Es seien Lösegeldforderungen in der Höhe von 200' 000 Dollar gestellt worden, was den Verkauf eines Ladens und die Verpfändung des Hauses notwendig gemacht habe. Nach der Entführung seien die Mutter und die Geschwister des Beschwerdeführers in den Iran gereist und hätten sich dort als Flüchtlinge registriert (Einreichung der iranischen Flüchtlingsausweise in Kopie). Die Entführung zeige, dass die Schutzfähigkeit der Behörden fraglich erscheine. Die gesellschaftliche Stellung des Vaters des Beschwerdeführers und die sich daraus ergebenden Kontakte zu den Behörden hätten nicht, wie von der Vorinstanz angenommen, zu einer verbesserten Sicherheitssituation geführt, sondern seien vielmehr Grund für die Übergriffe Dritter. Die allgemeine Situation in B._______ sei weniger sicher als vom SEM behauptet, was sich auch aus dem Bericht der Schweizerischen Flüchtlingshilfe (SFH) "Schnellrecherche der SFH-Länderanalyse vom 26. Oktober 2016 zu Afghanistan" ergebe.</w:t>
      </w:r>
    </w:p>
    <w:p>
      <w:r>
        <w:rPr>
          <w:b/>
        </w:rPr>
        <w:t>E. 4.3</w:t>
      </w:r>
    </w:p>
    <w:p>
      <w:r>
        <w:t>In seiner Vernehmlassung vom 27. Dezember 2016 erachtete es das SEM als fragwürdig, dass der Beschwerdeführer ausgerechnet kurz nach Erhalt des ablehnenden Asylentscheides von der Entführung seines Vaters erfahren habe und so rasch in den Besitz von entsprechenden Beweismitteln (Stick mit Gesprächsaufzeichnung, iranische Flüchtlingsausweise in Kopie) gekommen sei.</w:t>
      </w:r>
    </w:p>
    <w:p>
      <w:r>
        <w:rPr>
          <w:b/>
        </w:rPr>
        <w:t>E. 4.4</w:t>
      </w:r>
    </w:p>
    <w:p>
      <w:r>
        <w:t>In seiner Replik vom 31. Januar 2017 machte der Rechtsvertreter geltend, die Entführung sei Ende September 2016 und damit etwa einen Monat vor dem ablehnenden Asylentscheid geschehen; der in der Schweiz lebende Onkel des Beschwerdeführers habe zwar bald danach davon erfahren, dies aber dem minderjährigen Beschwerdeführer nicht sofort mitgeteilt, weil er befürchtet habe, dieser werde einen psychischen Zusammenbruch erleiden. Im Weiteren würden zwischen der Reise der Mutter und den Geschwistern aus Afghanistan in den Iran und der Einreichung von entsprechenden Flüchtlingsausweisen beinahe zwei Monate liegen. In der Zwischenzeit sei der Vater des Beschwerdeführers nach Zahlung des Lösegeldes freigekommen und sei nach einem Krankenhausaufenthalt in den Iran gereist, um sich dort mit seiner Familie zu vereinen (Einreichung von Fotografien, afghanischer Ausweis des Vaters des Beschwerdeführers, Auszug aus dem Internet) und allenfalls nach Europa zu gelangen. Der Kontakt der Familie zum in der Schweiz lebenden Onkel sei abgebrochen. Aufgrund des engen sachlichen und persönlichen Zusammenhangs zwischen dem Beschwerdeführer und seines in der Schweiz lebenden Onkels C._______ väterlicherseits (N [...]) werde beantragt, dessen Asyldossier beizuziehen. 4.54.5.1 Als Erstes ist festzuhalten, dass die Vorinstanz in der angefochtenen Verfügung die Glaubhaftigkeit der zentralen Vorbringen des Beschwerdeführers, wegen der beruflichen und gesellschaftlichen Stellung seines Vaters sei dieser und dessen Familie wiederholt von Unbekannten bedroht und behelligt worden, nicht in Frage gestellt hat. Indessen sind die erstmals auf Beschwerdeebene geltend gemachten Vorbringen, der Vater des Beschwerdeführers sei Ende September 2016 entführt worden und nach Zahlung eines Lösegeldes in den Iran zu seiner vorher geflüchteten Familie (Ehefrau, Kinder) gereist, als nachgeschoben und nicht glaubhaft zu erachten. Wie das SEM bereits in der Vernehmlassung zutreffend darauf hingewiesen hat, ist es fragwürdig, dass der Beschwerdeführer erst nach ablehnendem Asylentscheid von der Entführung vom Ende September 2016 erfahren haben soll. Der Erklärungsversuch in der Beschwerde, wonach der in der Schweiz lebende Onkel C._______ den minderjährigen Beschwerdeführer aus Furcht vor einem psychischen Zusammenbruch nicht sofort von der Entführung seines Vaters in Kenntnis gesetzt habe, vermag nicht zu überzeugen. Aus dem beigezogenen Dossier des Onkels C._______ (N [...]) ergibt sich denn auch, dass dieser anlässlich der Anhörung vom 18. Januar 2017 - obwohl zu jenem Zeitpunkt bereits seit Monaten in Kenntnis von der angeblichen Entführung seines Bruders - diesen gewichtigen Vorfall mit keinem Wort erwähnt hat. Erst anlässlich der ergänzenden Anhörung vom 1. März 2017, welche nach der Replik vom 31. Januar 2017 im vorliegenden Verfahren erfolgte, erwähnte C._______ die Entführung des Vaters des Beschwerdeführers (vgl. A15 S. 7) und dessen Ausreise in den Iran. Im Weiteren ist die Schilderung der geltend gemachten Entführung in der Beschwerde wenig detailreich ausgefallen und erscheint insgesamt konstruiert. Die eingereichten Beweismittel (Stick, Fotografien, iranische Flüchtlingsauseise in Kopie, Auszug aus dem Internet) vermögen an dieser Einschätzung nichts zu ändern. Zum einen ist das auf einem Stick gespeicherte Telefongespräch aufgrund seiner leichten Fälschbarkeit zum Nachweis der geltend gemachten Entführung nicht geeignet. Auch die Beweiskraft der nur in Kopie vorliegenden Flüchtlingsausweise ist als gering zu erachten. Zum anderen ergeben sich aus dem Hinweis betreffend die Internetseite eines Krankenhauses in der Nähe von B._______ keine konkreten Indizien auf den angeblichen Aufenthalt des Vaters des Beschwerdeführers nach dessen Entführung. Schliesslich vermögen die eingereichten Fotografien, welche den Vater des Beschwerdeführers vor einem Auto und einem Haus zusammen mit Wachpersonal zeigen, den Aufenthalt im Iran nicht zu belegen; vielmehr ist die Anwesenheit von Wachpersonal ein Indiz dafür, dass es sich hierbei möglicherweise um Aufnahmen des Vaters vor seinem neuen Haus ausserhalb des Zentrums von B._______ handeln könnte. 4.5.2 Somit bleibt zu prüfen, ob und inwiefern die von der Vorinstanz nicht in Zweifel gezogenen Vorbringen des Beschwerdeführers unter Berücksichtigung der Situation in Afghanistan von flüchtlingsrechtlicher Relevanz sind. 4.5.3 Aufgrund der Subsidiarität des flüchtlingsrechtlichen Schutzes erfüllt die Flüchtlingseigenschaft nicht, wer in seinem Heimatland Schutz vor nicht staatlicher Verfolgung findet (sog. Schutztheorie). Schutz vor nicht staatlicher Verfolgung im Heimatstaat ist als ausreichend zu qualifizieren, wenn die betreffende Person effektiv Zugang zu einer funktionierenden und effizienten Schutz-Infrastruktur hat, unabhängig von persönlichen Merkmalen wie Geschlecht oder Zugehörigkeit zu einer ethnischen oder religiösen Minderheit, und ihr die Inanspruchnahme eines solchen innerstaatlichen Schutzsystems individuell zumutbar ist (vgl. BVGE 2011/51 E. 7.4 sowie statt vieler Urteil des BVGer vom D-3394/2014 vom 26. Oktober 2015). 4.5.4 Die Sicherheitslage in Afghanistan wurde in einem Grundsatzurteil eingehend analysiert und grundsätzlich als äusserst prekär bezeichnet (vgl. BVGE 2011/7). Einzig für die Grossstädte Kabul sowie später auch für Herat (BVGE 2011/38) und Mazar-i-Sharif (BVGE 2011/49) wurde von einer vergleichsweise stabileren Situation ausgegangen. Hinsichtlich B._______ wurde festgestellt, dass, trotz der instabilen Sicherheitslage in den Regionen um die Stadt und der Zunahme der Anschläge in B._______ selbst, diese als ruhig und stabil bezeichnet werde und B._______ zu diesem Zeitpunkt als sicherste Stadt Afghanistans gelte (vgl. Urteil des BVGer E-2060/2016 vom 2. August 2016 E. 9.2.2). In seiner nachfolgenden Lagebeurteilung hinsichtlich Afghanistan (D- 5800/2016 vom 13. Oktober 2017) stellte es eine deutliche Verschlechterung der Sicherheitslage seit dem letzten Länderurteil des Bundesverwaltungsgerichts im Jahr 2011 (BVGE 2011/7) und dem Abzug der ISAF (International Security Assistance Force) über alle Regionen hinweg fest, ohne sich konkret über die aktuelle Situation in Mazar-i-Sharif zu äussern. In der Zwischenzeit hat das Bundesverwaltungsgericht eine ausführliche Lageanalyse zur Situation in Mazar-i-Sharif vorgenommen (vgl. Urteil des BVGer D-4287/2017 vom 8. Februar 2019 E. 6.2.3 [zur Publikation als Referenzurteil vorgesehen]). Das Gericht kam zum Schluss, dass sich die Sicherheitslage in der Stadt Mazar-i-Sharif in den letzten Jahren verschlechtert habe, während sich im Bereich der humanitären Situation Verbesserungen und Rückschläge wohl etwa die Waage halten dürften. Auch in Berücksichtigung dieser Entwicklung sei festzuhalten, dass die Stadt Mazar-i-Sharif nach wie vor zu den relativ stabilen Landesteilen Afghanistans gehöre. Angesichts dieser aktuellen Einschätzung kann von einer dortigen hinreichenden Schutzinfrastruktur ausgegangen werden. Es soll nicht in Abrede gestellt werden, dass der Beschwerdeführer und dessen Familie aufgrund der beruflichen und gesellschaftlichen Stellung des Vaters des Beschwerdeführers einem erhöhten Risiko ausgesetzt sind, Opfer von Behelligungen durch kriminelle Dritte zu werden. Indessen ist diesen zuzumuten, sich, wie bereits geschehen, schutzsuchend an die dortigen Sicherheitsbehörden zu wenden. Die lokalen Sicherheitsbehörden haben denn auch nach dem Einbruch umgehend interveniert. Die übrigen Vorfälle - namentlich das Attentat in E._______ und die Ermordung des Mitarbeiters und Freundes des Vaters - waren nicht unmittelbar gegen den Beschwerdeführer oder seine Familie gerichtet. Aus diesen Gründen ist eine begründete Furcht des Beschwerdeführers vor künftiger Verfolgung zu verneinen. Die Vorinstanz hat das Asylgesuch des Beschwerdeführers zu Recht und mit zutreffender Begründung abgelehnt.</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Ausländer und über die Integration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darzulegen,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6.3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6.4</w:t>
      </w:r>
    </w:p>
    <w:p>
      <w:r>
        <w:t>Das Bundesverwaltungsgericht hat im erwähnten Urteil D-4287/2017 vom 8. Februar 2019 unter anderem festgehalten, dass die Stadt Mazar-i-Sharif immer noch zu den stabileren und ruhigeren Orten gehöre und es sich folglich insgesamt nicht rechtfertige, aktuell eine generelle Unzumutbarkeit der Rückkehr dorthin anzunehmen. Vielmehr sei bei Vorliegen begünstigender Umstände (insbesondere tragfähiges Beziehungsnetz, Möglichkeit zur Sicherung des Existenzminimums, gesicherte Wohnsituation, guter Gesundheitszustand) von der Zumutbarkeit des Wegweisungsvollzugs auszugehen, wobei nicht jeder noch so schwache Bezugspunkt zu Mazar-i-Sharif für die Annahme begünstigender Umstände genüge. Der in der Zwischenzeit volljährig gewordene Beschwerdeführer stammt aus B._______. Im Rahmen des erstinstanzlichen Verfahrens gab der Beschwerdeführer an, seine Familie lebe wieder in B._______, und zwar etwas ausserhalb des Zentrums. Da die in der Beschwerde geltend gemachte Entführung seines Vaters und die Ausreise in den Iran zu den bereits geflüchteten Familienmitgliedern als nicht glaubhaft erachtet wurden, ist davon auszugehen, dass sich die Familie des Beschwerdeführers weiterhin in B._______ befindet, womit der Beschwerdeführer dort über ein Beziehungsnetz verfügt. Der Wegweisungsvollzug des jungen und gesunden Beschwerdeführers mit Schulbildung erweist sich daher als zumutbar.</w:t>
      </w:r>
    </w:p>
    <w:p>
      <w:r>
        <w:rPr>
          <w:b/>
        </w:rPr>
        <w:t>E. 6.5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6.6</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und auch sonst nicht zu beanstanden ist. Die Beschwerde ist abzuweisen.</w:t>
      </w:r>
    </w:p>
    <w:p>
      <w:r>
        <w:rPr>
          <w:b/>
        </w:rPr>
        <w:t>E. 8</w:t>
      </w:r>
    </w:p>
    <w:p>
      <w:r>
        <w:t>Mit Zwischenverfügung vom 9. Dezember 2016 wurde das Gesuch um Gewährung der unentgeltlichen Rechtspflege im Sinne von Art. 65 Abs. 1 VwVG gutgeheissen. Da von der weiterhin bestehenden Bedürftigkeit des Beschwerdeführers auszugehen ist,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