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D-7314/2016 vom 6. Januar 2017</w:t>
      </w:r>
    </w:p>
    <w:p>
      <w:r>
        <w:t>Bundesverwaltungsgericht, 2017-01-06, DE</w:t>
      </w:r>
    </w:p>
    <w:p>
      <w:r>
        <w:rPr>
          <w:b/>
        </w:rPr>
        <w:t xml:space="preserve">Quelle: </w:t>
      </w:r>
      <w:r>
        <w:t>https://mcp.opencaselaw.ch/entscheid/bvger_D-7314_2016</w:t>
      </w:r>
    </w:p>
    <w:p>
      <w:r>
        <w:t>FR: TAF D-7314/2016 du 6 janvier 2017</w:t>
      </w:r>
    </w:p>
    <w:p>
      <w:r>
        <w:t>IT: TAF D-7314/2016 del 6 gennaio 2017</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unter Ziff.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In der Beschwerde wird unter anderem beantragt, dem Beschwerdeführer sei eventuell gestützt auf Art. 4 AsylG vorübergehender Schutz zu gewähren. Diesbezüglich ist darauf hinzuweisen, dass die Anwendung von Art.4 AsylG nicht in die Zuständigkeit des Bundesverwaltungsgerichts als Beschwerdeinstanz im Bereich des Asylrechts fällt. Die Gewährung vorübergehenden Schutzes müsste durch den Bundesrat angeordnet (vgl. Art. 66 AsylG) beziehungsweise durch das SEM in die Wege geleitet werden (vgl. dazu beispielsweise das Urteil des Bundesverwaltungsgerichts D-5779/2013 vom 25. Februar 2015). Auf den entsprechenden Antrag ist daher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Wie das SEM zu Recht festgestellt hat, weisen die Vorbringen des Beschwerdeführers zu den fluchtauslösenden Ereignissen mehrere Widersprüche und Ungereimtheiten auf. Zur Vermeidung von Wiederholungen kann diesbezüglich auf die zutreffenden Erwägungen in der angefochtenen Verfügung verwiesen werden. Den Ausführungen in der Beschwerde ist nichts zu entnehmen, was diese Widersprüche und Ungereimtheiten erklären oder entkräften könnte. Anzufügen ist, dass sich der Beschwerdeführer auch noch in einem weiteren Punkt widersprach, und zwar hinsichtlich der Frage, wer ihn gewarnt habe, als er sich im Zimmer seines Bruders ausgeruht habe: Während er in der Erstbefragung erklärte, die Vermieterin seines Bruders habe ihn gewarnt (vgl. A4 S. 7), gab er in der Anhörung zu Protokoll, es sei der Hausbesitzer gewesen (vgl. A10 S. 11). Zudem ist festzustellen, dass der Beschwerdeführer geltend machte, die Regierung habe eine Königsstatue in Kathmandu abreissen beziehungsweise demolieren wollen (vgl. A4 S. 6 sowie A10 S. 7). Diese Aussage ist indessen tatsachenwidrig: Allgemein zugänglichen Presseberichten kann entnommen werden, dass diese Statue keineswegs demoliert, sondern lediglich in ein Museum hätte versetzt werden sollen. Wie vom SEM ebenfalls zu Recht erwogen wurde, ergeben sich aus den Aussagen des Beschwerdeführers keine konkreten Hinweise auf eine bestehende asylrelevante Verfolgung oder Gefährdung im Heimatland. Zwar kann nicht ausgeschlossen werden, dass er ein Mitglied der RPP war, jedoch ist aufgrund der Aktenlage nicht glaubhaft, dass er in dieser Partei eine Führungsfunktion innehatte. Auf die Fragen nach seiner Tätigkeit für die Partei antwortete er mit Allgemeinplätzen (vgl. A10 S. 7 und 8 und 12), aufgrund derer seine angebliche wichtige Position in der (lokalen) RPP nicht plausibel erscheint. Im Übrigen ist es realitätsfremd, dass sich der Beschwerdeführer zur Flucht gezwungen gesehen haben will, während sein Vater, welcher angeblich der lokale Führer der RPP (vgl. A10 S. 6) und beim geltend gemachten Vorfall in Kushma ebenfalls anwesend war, offenbar ohne weiteres in Nepal verbleiben konnte. Eigenen Angaben zufolge hatte der Beschwerdeführer zudem vor dem angeblichen Ereignis im Januar 2012 nie Probleme mit der Polizei oder anderen Parteien, namentlichen den Maoisten, gehabt (vgl. A4 S. 7), obwohl er sich angeblich schon seit seiner Kindheit für die RPP engagiert. Auch aus diesem Grund ist es äusserst unplausibel, dass er allein wegen der vermuteten Beteiligung an einer Auseinandersetzung zwischen Maoisten und RPP-Anhängern im Januar 2012 von der Polizei sowie den Maoisten tagelang gesucht worden sei respektive bis heute gesucht werde und im Falle seines Ergreifens ernsthafte Nachteile zu gewärtigen hätte. Insbesondere für die geltend gemachte Furcht, von den Maoisten umgebracht zu werden, finden sich in den Akten keinerlei konkrete Hinweise. Schliesslich ist festzustellen, dass sich der Beschwerdeführer eigenen Angaben zufolge vor der Ausreise offenbar ungefähr 20 Tage bei seinem Onkel in Chitwan aufgehalten hat und dort weder gesucht noch anderweitig behelligt wurde. Auch angesichts dessen kann nicht geglaubt werden, dass der Beschwerdeführer in Nepal einer landesweiten asylrelevanten Verfolgung ausgesetzt war.</w:t>
      </w:r>
    </w:p>
    <w:p>
      <w:r>
        <w:rPr>
          <w:b/>
        </w:rPr>
        <w:t>E. 6.2</w:t>
      </w:r>
    </w:p>
    <w:p>
      <w:r>
        <w:t>Die geltend gemachten Asylgründe sind nach dem Gesagten insgesamt als unglaubhaft zu erachten. Entgegen der in der Beschwerde vertretenen Auffassung vermag auch die Berücksichtigung der in Nepal herrschenden allgemeinen politischen und sozialen Lage an dieser Einschätzung nichts zu ändern, zumal offensichtlich nicht von einer Kollektivverfolgung von Angehörigen der RPP oder anderer Minderheiten in Nepal ausgegangen werden kann.</w:t>
      </w:r>
    </w:p>
    <w:p>
      <w:r>
        <w:rPr>
          <w:b/>
        </w:rPr>
        <w:t>E. 6.3</w:t>
      </w:r>
    </w:p>
    <w:p>
      <w:r>
        <w:t>Hinsichtlich der in der Beschwerde pauschal erhobenen Willkürrüge ist darauf hinzuweisen, dass Willkür nur dann vorliegt,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aus den Akten ersichtlich, dass und inwiefern die seitens des Beschwerdeführers als willkürlich bezeichneten Erwägungen des SEM unter die obgenannte Definition zu subsumieren sind. Vielmehr ist - auch unter Berücksichtigung der vorstehenden Erwägungen - festzustellen, dass insbesondere das Ergebnis der bemängelten Rechtsanwendung unter rechtsstaatlichen Gesichtspunkten durchaus vertretbar ist. Die Rüge, wonach das SEM das Willkürverbot verletzt habe, ist daher als unbegründet zu qualifizieren.</w:t>
      </w:r>
    </w:p>
    <w:p>
      <w:r>
        <w:rPr>
          <w:b/>
        </w:rPr>
        <w:t>E. 7</w:t>
      </w:r>
    </w:p>
    <w:p>
      <w:r>
        <w:t>Zusammenfassend ist festzustellen, dass der Beschwerdeführer nicht darzutun vermochte, dass er einer Verfolgung im Sinne von Art. 3 AsylG ausgesetzt war oder begründete Furcht hat, in absehbarer Zukunft einer solchen ausgesetzt zu werden. Er kann daher nicht als Flüchtling anerkannt werden. Die Vorinstanz hat das Asylgesuch des Beschwerdeführers demnach zu Recht abgelehnt.</w:t>
      </w:r>
    </w:p>
    <w:p>
      <w:r>
        <w:rPr>
          <w:b/>
        </w:rPr>
        <w:t>E. 8.1</w:t>
      </w:r>
    </w:p>
    <w:p>
      <w:r>
        <w:t>Lehnt das Staatssekretariat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AuG [SR 142.20]). Wie die Flüchtlingseigenschaft sind auch Wegweisungsvollzugshindernisse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Nepal ist demnach unter dem Aspekt von Art. 5 AsylG rechtmässig. Sodann ergeben sich weder aus den Aussagen des Beschwerdeführers noch aus den Akten Anhaltspunkte dafür, dass er für den Fall einer Ausschaffung nach Nepal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Auch die allgemeine Menschenrechtssituation in Nepal lässt den Wegweisungsvollzug zum heutigen Zeitpunkt klarerweise nicht als unzulässig erscheinen. Nach dem Gesagten ist der Vollzug der Wegweisung sowohl im Sinne der asyl- als auch der völkerrechtlichen Bestimmungen zulässig.</w:t>
      </w:r>
    </w:p>
    <w:p>
      <w:r>
        <w:rPr>
          <w:b/>
        </w:rPr>
        <w:t>E. 9.2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Nepal herrscht weder Krieg, noch Bürgerkrieg oder eine Situation allgemeiner Gewalt, weshalb der Wegweisungsvollzug dorthin als generell zumutbar erachtet wird. Sodann sprechen auch keine individuellen Gründe gegen die Zumutbarkeit des Wegweisungsvollzugs: Es handelt sich beim Beschwerdeführer um einen dreissigjährigen Mann ohne aktenkundige gesundheitliche Probleme, welcher über eine gute Ausbildung verfügt, in Nepal Teilhaber einer Privatschule war und dort Mathematik unterrichtete und auch in der Schweiz erwerbstätig war (im Gastgewerbe). Mit seinen Eltern, Geschwistern und weiteren Verwandten verfügt er in Nepal über ein tragfähiges Beziehungsnetz. Aus diesen Gründen ist nicht davon auszugehen, dass er bei seiner Rückkehr ins Heimatland dort aus wirtschaftlichen, sozialen oder gesundheitlichen Gründen in eine existenzbedrohende Situation geraten würde. Insgesamt ist der Wegweisungsvollzug daher als zumutbar zu erachten. Die geltend gemachte gute Integration in der Schweiz sowie die diesbezüglich eingereichten Beweismittel vermögen an dieser Einschätzung nichts zu ändern, weshalb darauf nicht mehr näher einzugehen ist.</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9.4</w:t>
      </w:r>
    </w:p>
    <w:p>
      <w:r>
        <w:t>Zusammenfassend ist festzustellen, dass die Vorinstanz den Wegweisungsvollzug zu Recht als zulässig, zumutbar und möglich bezeichnet hat.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21. Dezember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