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D-7312/2006 vom 7. Mai 2008</w:t>
      </w:r>
    </w:p>
    <w:p>
      <w:r>
        <w:t>Bundesverwaltungsgericht, 2008-05-07, DE</w:t>
      </w:r>
    </w:p>
    <w:p>
      <w:r>
        <w:rPr>
          <w:b/>
        </w:rPr>
        <w:t xml:space="preserve">Quelle: </w:t>
      </w:r>
      <w:r>
        <w:t>https://mcp.opencaselaw.ch/entscheid/bvger_D-7312_2006</w:t>
      </w:r>
    </w:p>
    <w:p>
      <w:r>
        <w:t>FR: TAF D-7312/2006 du 7 mai 2008</w:t>
      </w:r>
    </w:p>
    <w:p>
      <w:r>
        <w:t>IT: TAF D-7312/2006 del 7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des Beschwerdeführers als den Anforderungen an Art. 3 AsylG nicht genügend ab. In der Beschwerde wird der vom BFF festgestellte Sachverhalt als "an und für sich zutreffend wiedergegeben" bezeichnet. Bestritten wird indes die vorinstanzliche Einschätzung, welche in Bezug auf den vorliegenden Fall fehl gehe. So seien nebst dem in der angefochtenen Verfügung bereits erwähnten, zurzeit flüchtigen Bruder E. noch weitere nahe Angehörige des Beschwerdeführers politisch aktiv und deswegen von den türkischen Sicherheitskräften belangt worden. Auch müsse der Beschwerdeführer davon ausgehen, dass die türkischen Sicherheitskräfte ihn zumindest der Unterstützung zugunsten der PKK verdächtigen würden. Das Resultat der Botschaftsabklärung widerspreche diesem Umstand nicht, zumal es durchaus möglich sei, dass die türkischen Behörden noch nicht über genügend Beweise gegen den Beschwerdeführer verfügten, damit sie härter gegen ihn hätten vorgehen können. Weiter sei zu berücksichtigen, dass der Bruder H. versucht habe, Mitteilungen inhaftierter PKK-Aktivisten an die Presse weiterzuleiten. Zwar habe das diesbezügliche Verfahren mit einem Freispruch geendet, was aber nichts daran zu ändern vermöge, dass für die Sicherheitskräfte dadurch eine weitere Verbindung naher Familienangehöriger des Beschwerdeführers zur PKK erstellt sei. Vor diesem Hintergrund bestehe für den Beschwerdeführer die objektiv begründete Furcht, im Falle seiner Rückkehr asylrelevanter Verfolgung ausgesetzt zu sein. Auch bestehe für den Beschwerdeführer keine innerstaatliche Fluchtalternative, da davon auszugehen sei, dass seine Identität und seine verwandtschaftliche Beziehung zu den erwähnten Personen bei der strengen Einreisekontrolle festgestellt würden.</w:t>
      </w:r>
    </w:p>
    <w:p>
      <w:r>
        <w:rPr>
          <w:b/>
        </w:rPr>
        <w:t>E. 4.2</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Entscheidungen und Mitteilungen der ARK [EMARK] 2005 Nr. 21 E. 7.1. - 7.3. S. 193 f. mit Hinweisen).</w:t>
      </w:r>
    </w:p>
    <w:p>
      <w:r>
        <w:rPr>
          <w:b/>
        </w:rPr>
        <w:t>E. 4.3</w:t>
      </w:r>
    </w:p>
    <w:p>
      <w:r>
        <w:t>Das Bundesverwaltungsgericht geht analog der von der Vorgängerorganisation entwickelten Praxis nach wie vor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erwähnten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1994 Nr. 5 E. 3h S. 47 f. und Nr. 17 S. 136 f.; vgl. auch EMARK 1993 Nr. 6 S. 37 f.).</w:t>
      </w:r>
    </w:p>
    <w:p>
      <w:r>
        <w:rPr>
          <w:b/>
        </w:rPr>
        <w:t>E. 5.1</w:t>
      </w:r>
    </w:p>
    <w:p>
      <w:r>
        <w:t>Eine Überprüfung der angefochtenen Verfügung lässt das Bundesverwaltungsgericht zum selben Schluss wie die Vorinstanz gelangen. Aufgrund der Akten ergibt sich, dass der Beschwerdeführer nach seinem Wegzug von D._______ nach Istanbul Ende 1994 bis zur Ausreise keinen konkret und gezielt gegen ihn gerichteten staatlichen Massnahmen asylrelevanten Ausmasses ausgesetzt gewesen war. Den protokollierten Aussagen ist ferner zu entnehmen, dass er in dieser vierjährigen Zeitspanne nach Absolvierung des Militärdienstes unbehelligt einer Arbeit in seinem angestammten Beruf nachgehen konnte und nie in Haft oder vor Gericht gewesen war. Auch erklärte der Beschwerdeführer wiederholt, keine Probleme mit den heimatlichen Behörden gehabt zu haben, obschon er verschiedentlich mit ihnen in Kontakt gekommen sei. Mithin zeichnet er ein Bild, welches die Aussage enthält beziehungsweise die Schlussfolgerung zulässt, dass ihm keine derartigen Schwierigkeiten widerfahren sind, die ihm ein menschenwürdiges Leben im Heimatland unzumutbar erschwert oder gar verunmöglicht hätten. Vor diesem Hintergrund mutet es seltsam an, wenn in der Rechtsmitteleingabe unter anderem argumentiert wird, all diese - grundsätzlich unbestrittenen - Sachverhaltselemente sowie das (ebenso grundsätzlich unbestrittene) Resultat der Botschaftsabklärung würden nicht gegen den Umstand sprechen, dass der Beschwerdeführer aufgrund seiner politischen Aktivitäten zugunsten der PKK im Falle einer Rückkehr einer asylrelevanten Gefährdungssituation ausgesetzt wäre. Im Wissen der nicht unzimperlichen Vorgehensweise der türkischen Behörden gegenüber Personen, welche dem geringsten Verdacht einer politischen Tätigkeit zugunsten der PKK ausgesetzt sind, sowie dem Umstand, dass sich im Falle des Beschwerdeführers sogar verschiedentlich und ohne grossen Aufwand die Gelegenheit zu dessen Festnahme respektive zur Einleitung von nachteiligen Massnahmen gegenüber diesem geboten hätte, muss die in diesem Zusammenhang angeführte Begründung als unbehelflicher Erklärungsversuch gewertet werden, wonach die Sicherheitskräfte möglicherweise noch nicht über genügend Beweise gegen den Beschwerdeführer verfügt haben sollen.</w:t>
      </w:r>
    </w:p>
    <w:p>
      <w:r>
        <w:rPr>
          <w:b/>
        </w:rPr>
        <w:t>E. 5.2</w:t>
      </w:r>
    </w:p>
    <w:p>
      <w:r>
        <w:t>Im Rahmen des vorinstanzlichen Verfahrens machte der Beschwerdeführer im Zusammenhang mit den erst auf Beschwerdeebene genannten drei Cousins mütterlicherseits (vgl. Bst. D hiervor) nie irgendwelche Probleme mit den heimatlichen Behörden geltend. Darüberhinaus ist aufgrund der Akten davon auszugehen, dass der familiäre und verwandtschaftliche Hintergrund des Beschwerdeführers den türkischen Behörden im Zeitpunkt von dessen Ausreise durchaus bekannt war. Der mehr oder weniger vierjährige unbehelligte Aufenthalt im Westen der Türkei vor der Ausreise belegt zudem, dass dem Beschwerdeführer - wie die Vorinstanz zutreffend festhielt - eine innerstaatliche Fluchtalternative offenstand, um allfälligen Nachstellungen der türkischen Behörden zu entgehen. Angesichts dieser Sachlage und dem unter Ziffer 5.1 Ausgeführten ist die Berufung des Beschwerdeführers auf eine Reflexverfolgung im Sinne der Rechtsprechung unbegründet. Vielmehr entsteht der Eindruck, der Beschwerdeführer versuche, mit den diesbezüglichen, erstmals in der Rechtsmitteleingabe eingebrachten Vorbringen eine asylrelevante Gefährdungssituation für sich herzuleiten. Nach dem Gesagten ist der in diesem Zusammenhang wiederholt gestellte Antrag auf Vornahme einer Botschaftsabklärung abzuweisen.</w:t>
      </w:r>
    </w:p>
    <w:p>
      <w:r>
        <w:rPr>
          <w:b/>
        </w:rPr>
        <w:t>E. 5.3</w:t>
      </w:r>
    </w:p>
    <w:p>
      <w:r>
        <w:t>Gegen die vom Beschwerdeführer behauptete Gefährdungssituation spricht nicht zuletzt auch dessen legale Ausreise auf dem Luftweg. Es erscheint in diesem Zusammenhang nämlich kaum verständlich, dass sich der Beschwerdeführer mit dem von ihm geltend gemachten politischen und familiären Hintergrund in Kenntnis der jeweils rigoros durchgeführten Kontrollen am Flughafen dem Risiko des Entdecktwerdens beziehungsweise einer Verhaftung ausgesetzt haben soll. Daran ändern auch die Vorbringen auf Beschwerdestufe nichts, wonach die Ausreise dank der Hilfe eines Schleppers und Bestechung organisiert worden sein soll. Die diesbezüglichen Ausführungen, insbesondere diejenigen in der Stellungnahme zur vorinstanzliche Vernehmlassung vom 19. Dezember 2000 (vgl. Bst. F hiervor), entbehren der Grundlage. Aus den herbeigezogenen Akten des Bruders H. beziehungsweise aus dessen an der Empfangsstelle zu Protokoll gegebener Antwort geht unter anderem hervor, dass sich der Beschwerdeführer und sein Bruder H. in einem Autobus von D._______ nach Istanbul begeben haben, dabei bereits im Besitz der Flugtickets gewesen und noch gleichentags ausgereist seien.</w:t>
      </w:r>
    </w:p>
    <w:p>
      <w:r>
        <w:rPr>
          <w:b/>
        </w:rPr>
        <w:t>E. 5.4</w:t>
      </w:r>
    </w:p>
    <w:p>
      <w:r>
        <w:t>Abschliessend beziehungsweise der Vollständigkeit halber bleibt zu erwähnen, dass in der Rechtsmitteleingabe den vorinstanzlichen Argumenten, welche die Asylrelevanz der Vorbringen des Beschwerdeführers verneinen, insgesamt keine stichhaltigen Gründe entgegen gesetzt werden. Zur Vermeidung von Wiederholungen kann daher auch auf die ausführlichen und nicht zu beanstandenden Ausführungen des BFF in seiner Verfügung und Vernehmlassung verwiesen werden (vgl. Bst. C und F hiervor).</w:t>
      </w:r>
    </w:p>
    <w:p>
      <w:r>
        <w:rPr>
          <w:b/>
        </w:rPr>
        <w:t>E. 5.5</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Mit Inkrafttreten des revidierten Asylgesetzes am 1. Januar 2007 wurde Art. 43 Abs. 3 - 5 aAsylG aufgehoben. Mithin bildet die Frage einer allfälligen vorläufigen Aufnahme aufgrund einer schwerwiegenden persönlichen Notlage nicht Gegenstand des vorliegenden Verfahrens.</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den Beschwerdeführer als "Gewalt- oder de-facto-Flüchtling" qualifizieren würde, lässt sich aufgrund der heutigen Situation in der Türkei nicht in genereller Form bejahen. Weder sind individuelle Unzumutbarkeitsaspekte aktenkundig noch wurden solche in den Rechtsschriften geltend gemacht. Aus den Akten ergeben sich keine konkreten Anhaltspunkte, aufgrund derer allenfalls geschlossen werden könnte, der Beschwerdeführer gerate im Falle der Rückkehr in seinen Heimatstaat aus Gründen wirtschaftlicher, sozialer oder gesundheitlicher Natur in eine existenzbedrohende Situation. Der die letzten Jahre vor seiner Ausreise in der Westtürkei lebende, allfällige politische Aktivitäten oder Probleme mit den heimatlichen Behörden verneinende und - soweit aktenkundig - gesunde Beschwerdeführer ging dort einer Erwerbstätigkeit in seinem angestammten Beruf als Sanitärinstallateur auf Baustellen nach. Während seines Aufenthalts in der Schweiz konnte er zusätzliche Erfahrungen im Erwerbsleben sammeln. Darüber hinaus kann der Beschwerdeführer im Falle einer Rückkehr in die Türkei auf ein familiäres Beziehungsnetz zurück greifen, was eine Reintegration zweifelsohne erleichtern dürfte. In Berücksichtigung dieser Aspekte ist der Vollzug der Wegweisung als zumutbar zu erachten.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