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D-7306/2010 vom 15. Dezember 2010</w:t>
      </w:r>
    </w:p>
    <w:p>
      <w:r>
        <w:t>Bundesverwaltungsgericht, 2010-12-15, DE</w:t>
      </w:r>
    </w:p>
    <w:p>
      <w:r>
        <w:rPr>
          <w:b/>
        </w:rPr>
        <w:t xml:space="preserve">Quelle: </w:t>
      </w:r>
      <w:r>
        <w:t>https://mcp.opencaselaw.ch/entscheid/bvger_D-7306_2010</w:t>
      </w:r>
    </w:p>
    <w:p>
      <w:r>
        <w:t>FR: TAF D-7306/2010 du 15 décembre 2010</w:t>
      </w:r>
    </w:p>
    <w:p>
      <w:r>
        <w:t>IT: TAF D-7306/2010 del 15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Entscheide des Schweizerischen Bundesverwaltungsgerichts [BVGE] 2009/28 E. 7.1 S. 352; vgl. ferner Entscheidungen und Mitteilungen der Schweizerischen Asylrekurskommission [EMARK] 2000 Nr. 16 E. 5 a S. 141 f., mit weiteren Hinweisen). Stattdessen werden Personen, welche subjektive Nachfluchtgründe nachweisen oder glaubhaft machen können, als Flüchtlinge vorläufig aufgenommen (vgl. dazu die nach wie vor gültigen und zutreffenden Ausführungen in EMARK 1995 Nr. 7 E. 7 b und 8 S. 67 ff.; EMARK 2000 Nr. 16 E. 5 a S. 141 f., mit weiteren Hinweisen).</w:t>
      </w:r>
    </w:p>
    <w:p>
      <w:r>
        <w:rPr>
          <w:b/>
        </w:rPr>
        <w:t>E. 5.1</w:t>
      </w:r>
    </w:p>
    <w:p>
      <w:r>
        <w:t>Der Beschwerdeführer bringt zur Begründung seines zweiten Asylgesuchs vor, aufgrund seiner exilpolitischen Tätigkeiten in der Schweiz würden subjektive Nachfluchtgründe bestehen. Im Folgenden ist daher zu prüfen, ob er durch sein Verhalten nach der Ausreise aus dem Heimatland, namentlich wegen seines politischen Engagements in der Schweiz, Grund für eine zukünftige Verfolgung durch die iranischen Behörden gesetzt hat und aus diesem Grund (das heisst infolge Vorliegens subjektiver Nachfluchtgründe) die Flüchtlingseigen­schaft erfüllt.</w:t>
      </w:r>
    </w:p>
    <w:p>
      <w:r>
        <w:rPr>
          <w:b/>
        </w:rPr>
        <w:t>E. 5.2</w:t>
      </w:r>
    </w:p>
    <w:p>
      <w:r>
        <w:t>Nach Prüfung der Akten durch das Gericht ist - in Überein­stimmung mit der Vorinstanz - festzustellen, dass insgesamt keine subjektiven Nachfluchtgründe bestehen, die bei einer Rückkehr des Beschwerdeführers in den Iran zu einer für die Flüchtlingseigenschaft relevanten Verfolgung führen würden, weshalb diesbezüglich zur Ver­meidung von Wiederholungen vorab auf die zutreffenden vorinstanz­lichen Erwägungen zu verweisen ist (vgl. Ziffer I; Bst. F. vorstehend). Aufgrund der Akten ist nicht davon auszugehen, das Engagement des Beschwerdeführers sei über die blosse Mitgliedschaft beziehungs­weise Teilnahme an Versammlungen und Kundgebungen der DVF und der PDK-I hinausgegangen. Auch der Auftritt des Beschwerdeführers zu­sammen mit einem Chor im exilkurdischen Fernsehen und die von ihm im Internet publizierten politischen Beiträge verleihen ihm nicht das Profil eines gewichtigen und staatsgefährdenden Exilaktivisten. Eine flüchtlingsrechtlich relevante Verfolgung des Beschwerdeführers auf­grund seines exilpolitischen Engagements in der Schweiz im Falle einer Rückkehr in den Iran ist unwahrscheinlich, zumal er keine Führungsposition und weder Verantwortung noch besonders wichtige Aufgaben inne hat, weswegen er auch nicht als besonders exponierter exilpolitischer Aktivist erscheint und demzufolge von den iranischen Behörden mit überwiegender Wahrscheinlichkeit nicht als staats­gefährdende Person wahrgenommen wird. Im geltend ge­machten exilpolitischen Engagement ist nicht das Gefährdungspotenzial zu ersehen, welches der Beschwerdeführer daraus zu ziehen versucht, zumal nicht primär das Hervortreten im Sinne einer optischen Erkennbarkeit und Individualisierbarkeit, sondern eine der­artige Ex­ponierung in der Öffentlichkeit massgebend ist, welche auf­grund der Persönlichkeit, der äusseren Form des Auftritts und nicht zuletzt auf­grund des Inhalts der in der Öffentlichkeit abgegebenen Er­klärung den Eindruck erwecken würde, dass der Beschwerdeführer zu einer Gefahr für den Bestand des heimatlichen Regimes werde.</w:t>
      </w:r>
    </w:p>
    <w:p>
      <w:r>
        <w:rPr>
          <w:b/>
        </w:rPr>
        <w:t>E. 5.3</w:t>
      </w:r>
    </w:p>
    <w:p>
      <w:r>
        <w:t>Zusammenfassend ist festzuhalten, dass nicht mit überwiegender Wahrscheinlichkeit davon auszugehen ist, dass der Beschwerdeführer im Falle einer Rückkehr in den Heimatstaat befürchten muss, dort ernsthafte Nachteile im Sinne von Art. 3 AsylG zu erleiden. Insbe­sondere fehlen im vorliegenden Fall jegliche glaubhafte Hinweise darauf, dass im Iran aufgrund der genannten politischen Aktivitäten im Exil gegen ihn ein Strafverfahren oder andere behördliche Mass­nahmen eingeleitet worden sind, was ein Indiz für eine fehlende Ver­folgungsgefahr im Heimatland darstellt. Der Beschwerdeführer hat auch aufgrund seiner Aus­reise aus dem Iran und der Asylbeantragung in der Schweiz bei einer Rückkehr in seine Heimat keine asylrechtlich relevanten Nachteile zu befürchten. Das gilt selbst dann, wenn es zu­treffen sollte, dass er illegal ausgereist ist, wie das von ihm behauptet wird (vgl. BVGE 2009/28 E. 7.4.4). An dieser Einschätzung ändert auch der in der Rechtsmittelschrift erhobene Hinweis auf § 56 des Urteil des Europäischen Gerichtshofs für Menschenrechte (EGMR), R.C. vs. Schweden vom 9. März 2010, Nr. 41827/07, nichts, zumal auch dort nicht festgehalten wird, bei einer illegalen Ausreise aus dem Iran seien bei einer Rückkehr dorthin in jedem Fall asylrechtlich relevante Nachteile zu befürchten. Vielmehr wird dort lediglich fest­gestellt, dass bei einer illegalen Ausreise aus diesem Land eine hohe Wahrscheinlichkeit besteht, dass eine Person bei ihrer Rückkehr in den Iran einer genauen Prüfung unterzogen und ihre Vergangenheit aufgedeckt wird. Da der Beschwerdeführer - wie in E. 5.2 dargelegt - nicht das Profil eines gewichtigen und staatsgefährdenden Exilaktivisten aufweist und zudem seine Vorfluchtgründe als unglaubhaft zu beurteilen sind, hat er bei einer Rückkehr in den Iran mit über­wiegender Wahrscheinlichkeit keine asylrelevanten Nachteile zu be­fürchten.</w:t>
      </w:r>
    </w:p>
    <w:p>
      <w:r>
        <w:rPr>
          <w:b/>
        </w:rPr>
        <w:t>E. 5.4</w:t>
      </w:r>
    </w:p>
    <w:p>
      <w:r>
        <w:t>Aufgrund der vorstehenden Erwägungen erübrigt es sich, auf die weiteren Ausführungen in der Beschwerde und die im Beschwerdeverfahren eingereichten Beweismittel im Einzelnen einzugehen, weil sie am Ergebnis nichts ändern. Unter Berücksichtigung der gesamten Umstände folgt, dass der Beschwerdeführer keine Gründe nach Art. 3 AsylG nachweisen oder glaubhaft machen konnte. Das BFM hat daher zu Recht seine Flüchtlingseigenschaft verneint und sein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Im Iran besteht keine Situation generalisierter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mithin nicht.</w:t>
      </w:r>
    </w:p>
    <w:p>
      <w:r>
        <w:rPr>
          <w:b/>
        </w:rPr>
        <w:t>E. 7.3.3</w:t>
      </w:r>
    </w:p>
    <w:p>
      <w:r>
        <w:t>Der - soweit aktenkundig - gesunde, alleinstehende Be­schwerdeführer wohnte vor seiner Ausreise aus seinem Heimatland in der Provinz Westaserbaidschan, wo gemäss seinen eigenen Aussagen auch seine Eltern und seine neun Geschwister leben, weshalb zu schliessen ist, dass er bei seiner Rückkehr in den Iran ein soziales Netz vorfinden wird. Vor seiner Ausreise hat der Beschwerdeführer zudem zusammen mit seinem Bruder ein Immobiliengeschäft be­trieben sowie in der Landwirtschaft gearbeitet, weshalb davon auszugehen ist, er könne sich in seiner Heimat auch in wirtschaftlicher Hin­sicht wieder integrieren. Nach dem Gesagten kann der Vollzug der Wegweisung in sein Heimatland nicht als unzumutbar bezeichnet werden.</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10. November 2010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