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D-729/2022 vom 21. Februar 2022</w:t>
      </w:r>
    </w:p>
    <w:p>
      <w:r>
        <w:t>Bundesverwaltungsgericht, 2022-02-21, DE</w:t>
      </w:r>
    </w:p>
    <w:p>
      <w:r>
        <w:rPr>
          <w:b/>
        </w:rPr>
        <w:t xml:space="preserve">Quelle: </w:t>
      </w:r>
      <w:r>
        <w:t>https://mcp.opencaselaw.ch/entscheid/bvger_D-729_2022</w:t>
      </w:r>
    </w:p>
    <w:p>
      <w:r>
        <w:t>FR: TAF D-729/2022 du 21 février 2022</w:t>
      </w:r>
    </w:p>
    <w:p>
      <w:r>
        <w:t>IT: TAF D-729/2022 del 21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118 Abs. 3 AsylG; Art. 105 AsylG i.V.m. Art. 37 VGG und Art. 52 Abs. 1 VwVG). Der Beschwerdeführer hat am Verfahren vor der Vorinstanz teilgenommen, ist durch die angefochtene Verfügung besonders berührt, hat ein schutzwür- diges Interesse an deren Aufhebung beziehungsweise Änderung und ist daher zur Einreichung der Beschwerde legitimiert (Art. 105 AsylG i.V.m. Art. 37 VGG und Art. 48 Abs. 1 VwVG). Auf die Beschwerde ist einzutreten.</w:t>
      </w:r>
    </w:p>
    <w:p>
      <w:r>
        <w:rPr>
          <w:b/>
        </w:rPr>
        <w:t>E. 1.3</w:t>
      </w:r>
    </w:p>
    <w:p>
      <w:r>
        <w:t>Im Beschwerdeverfahren ist die Sprache des angefochtenen Ent- scheids massgebend. Verwenden die Parteien eine andere Amtssprache,</w:t>
      </w:r>
    </w:p>
    <w:p>
      <w:r>
        <w:t>D-729/2022 Seite 4 so dann das Verfahren in dieser Sprache (hier Deutsch) geführt werden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Anwendung von Art. 111a Abs. 1 AsylG verzichtet.</w:t>
      </w:r>
    </w:p>
    <w:p>
      <w:r>
        <w:rPr>
          <w:b/>
        </w:rPr>
        <w:t>E. 4.1</w:t>
      </w:r>
    </w:p>
    <w:p>
      <w:r>
        <w:t>In der Beschwerde werden formelle Rügen erhoben, welche vorab zu beurteilen sind, da sie gegebenenfalls geeignet sind, eine Kassation der vorinstanzlichen Verfügung zu bewirken. Der Beschwerdeführer bringt vor, die Vorinstanz habe seinen Anspruch auf rechtliches Gehör verletzt und sie sei ihren Untersuchungspflichten nicht nachgekommen. Sie habe nicht abgeklärt, inwiefern er auf medizinische beziehungsweise psychologische Behandlung angewiesen sei, wenn er das stabile Umfeld der Schweiz verlassen müsse, obwohl er ihr von seinen Kopfschmerzen und seinen Erkundigungen hinsichtlich eines psychologi- schen Beratungstermins berichtet habe ([…]). Im Weiteren wären Garan- tien für den Ausschluss der Konfrontation von menschenunwürdigen Um- ständen einzuholen gewesen. Die Vorinstanz habe den Beschwerdeführer zu wenig zu seinen (Gewalt-) Erlebnissen befragt und in ihrem Entscheid humanitäre Gründe für einen Selbsteintritt, die neusten Entwicklungen in</w:t>
      </w:r>
    </w:p>
    <w:p>
      <w:r>
        <w:t>D-729/2022 Seite 5 Bulgarien und die Push Back-Problematik in ihren Erwägungen nicht ge- bührend berücksichtigt. Mit der Versagung des Selbsteintrittes habe sie fer- ner ihr Ermessen nicht richtig ausgeübt ([…]).</w:t>
      </w:r>
    </w:p>
    <w:p>
      <w:r>
        <w:rPr>
          <w:b/>
        </w:rPr>
        <w:t>E. 4.2</w:t>
      </w:r>
    </w:p>
    <w:p>
      <w:r>
        <w:t>Der Untersuchungsgrundsatz betrifft die Abklärungspflicht der Be- hörde. Der entsprechende Beschwerdegrund erscheint in der Variante «un- vollständige Feststellung des rechtserheblichen Sachverhaltes» in Art. 49 Bst. b VwVG bzw. Art. 106 Abs. 1 Bst. b AsylG. Er ist erfüllt, wenn die Be- hörde den rechtserheblichen Sachverhalt nicht von Amtes wegen abge- klärt, oder nicht alle für den Entscheid wesentlichen Sachumstände berück- sichtigt hat (vgl. BENJAMIN SCHINDLER, in: Kommentar zum VwVG, 2. Aufl. 2019, Art. 49 N. 29). Der Untersuchungsgrundsatz findet seine Grenze an der Mitwirkungspflicht der gesuchstellenden Person (Art. 8 AsylG, Art. 13 VwVG).</w:t>
      </w:r>
    </w:p>
    <w:p>
      <w:r>
        <w:rPr>
          <w:b/>
        </w:rPr>
        <w:t>E. 4.2.1</w:t>
      </w:r>
    </w:p>
    <w:p>
      <w:r>
        <w:t>Seinen Gesundheitszustand beschrieb der Beschwerdeführer im Rahmen des Dublin-Gesprächs vom 21. Januar 2022 mit Ausnahme von normalen, mit Medikamenten behandelbaren Kopfschmerzen als gut ([…]; Behandlung mit Dafalgan). Die Vorinstanz hat den Beschwerdeführer zu seinem Aufenthalt in Bulgarien im Rahmen des Dublin-Gesprächs vom 21. Januar 2022 befragt und er konnte sich frei dazu, wie auch zu den vorge- brachten (Gewalt-) Erlebnissen, äussern. Vor diesem Hintergrund bestand für die Vorinstanz keine Veranlassung, weitere Abklärungen zum Gesund- heitszustand des Beschwerdeführers vorzunehmen und auch hinsichtlich des Aufenthalts in Bulgarien ist nicht von einem unvollständig festgestellten Sachverhalt auszugehen. Die Vorinstanz hat den Untersuchungsgrundsatz nicht verletzt.</w:t>
      </w:r>
    </w:p>
    <w:p>
      <w:r>
        <w:rPr>
          <w:b/>
        </w:rPr>
        <w:t>E. 4.2.2</w:t>
      </w:r>
    </w:p>
    <w:p>
      <w:r>
        <w:t>Die Rüge betreffend die neusten Entwicklungen in Bulgarien stehen im Zusammenhang mit dem Vorbringen, wonach Bulgarien systemische Mängel in der Behandlung von Asylsuchenden aufweise (vgl. E. 6.2.2). Es kann daher auf E. 6.2.2 verwiesen werden, wobei der Vollständigkeit halber anzumerken ist, dass illegale Push-Backs sich in einem Wiederaufnahme- verfahren wie dem vorliegenden sachlogisch nicht ereignen können.</w:t>
      </w:r>
    </w:p>
    <w:p>
      <w:r>
        <w:rPr>
          <w:b/>
        </w:rPr>
        <w:t>E. 4.2.3</w:t>
      </w:r>
    </w:p>
    <w:p>
      <w:r>
        <w:t>Wie die nachstehenden Erwägungen 7 aufzeigen, erweisen sich auch die übrigen Rügen betreffend unterlassene Abklärung des Zugangs zu medizinischer und psychologischer Behandlung in Bulgarien bezie- hungsweise fehlende Einholung von Garantien als unbegründet.</w:t>
      </w:r>
    </w:p>
    <w:p>
      <w:r>
        <w:t>D-729/2022 Seite 6</w:t>
      </w:r>
    </w:p>
    <w:p>
      <w:r>
        <w:rPr>
          <w:b/>
        </w:rPr>
        <w:t>E. 4.3</w:t>
      </w:r>
    </w:p>
    <w:p>
      <w:r>
        <w:t>Insgesamt erweisen sich die formellen Rügen als unbegründet, wes- halb das Eventualbegehren um Rückweisung der Sache zur Neubeurtei- lung an die Vorinstanz abzuweisen ist.</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2019 VI/7 E. 4-6;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t>D-729/2022 Seite 7</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rPr>
          <w:b/>
        </w:rPr>
        <w:t>E. 6.1</w:t>
      </w:r>
    </w:p>
    <w:p>
      <w:r>
        <w:t>Ein Abgleich der Fingerabdrücke des Beschwerdeführers mit der "Eurodac"-Datenbank ergab, dass er am 12. November 2021 in Bulgarien ein Asylgesuch eingereicht hatte. Das SEM ersuchte deshalb gestützt auf Art. 18 Abs. 1 Bst. b Dublin-III-VO die bulgarischen Behörden am 21. Ja- nuar 2022 um Wiederaufnahme der Beschwerdeführenden. Die bulgari- schen Behörden stimmten dem Gesuch um Übernahme am 4. Februar 2022 zu. Der Einwand des Beschwerdeführers, er sei in Bulgarien zur Einreichung eines Asylgesuches gezwungen worden, ist eine blosse Schutzbehaup- tung, welche bezüglich der Zuständigkeitsfrage ohnehin unbehelflich ist, da bereits die vom Beschwerdeführer unbestrittene Einreise in das Ho- heitsgebiet des Dublin-Staates die Zuständigkeit Bulgariens für die Durch- führung des Asyl- und Wegweisungsverfahrens begründet (Art. 18 Abs. 1 Bst. a Dublin-III-VO). Die staatsvertragliche Zuständigkeit Bulgariens ist somit gegeben.</w:t>
      </w:r>
    </w:p>
    <w:p>
      <w:r>
        <w:rPr>
          <w:b/>
        </w:rPr>
        <w:t>E. 6.2</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Sinne des Artikels 4 der EU-Grundrechtecharta mit sich bringen würden.</w:t>
      </w:r>
    </w:p>
    <w:p>
      <w:r>
        <w:rPr>
          <w:b/>
        </w:rPr>
        <w:t>E. 6.2.1</w:t>
      </w:r>
    </w:p>
    <w:p>
      <w:r>
        <w:t>Der Beschwerdeführer bringt vor, das bulgarische Asylsystem weise systemische Mängel auf. Die Lebensbedingungen von Asylsuchenden</w:t>
      </w:r>
    </w:p>
    <w:p>
      <w:r>
        <w:t>D-729/2022 Seite 8 seien desaströs, es komme zu Polizeigewalt (Asylsuchende würden ge- schlagen), zu illegalen Push-Backs und die medizinische Versorgung sei nicht gewährleistet. Diese menschenunwürdigen Zustände in Bulgarien würden auch vom Bundesverwaltungsgericht (Urteil F-7195/2018 vom 11. Februar 2020 E. 6.6.7) sowie von öffentlichen Quellen kritisiert (beispiels- weise Berichte der Schweizerischen Flüchtlingshilfe SFH vom 30. August 2019; AIDA Country Report: Bulgarien, Update 2020, S. 61; und viele mehr; […]).</w:t>
      </w:r>
    </w:p>
    <w:p>
      <w:r>
        <w:rPr>
          <w:b/>
        </w:rPr>
        <w:t>E. 6.2.2</w:t>
      </w:r>
    </w:p>
    <w:p>
      <w:r>
        <w:t>Das Bundesverwaltungsgericht hat sich – wie vom Beschwerdeführer zutreffend genannt – im Referenzurteil F-7195/2018 vom 11. Februar 2020 ausführlich mit dem bulgarischen Asylsystem und der Situation asylsu- chender Personen in Bulgarien auseinandergesetzt. Es hat festgehalten, dass das dortige Asylverfahren sowie die Aufnahmebedingungen zwar ge- wisse Mängel aufweisen würden, diese aber nicht systemischer Natur seien, weshalb von Überstellungen nach Bulgarien grundsätzlich nicht ab- zusehen sei. Korrekte Asylverfahren seien in Bulgarien nicht systembe- dingt unmöglich. Zudem seien die Bedingungen in den Aufnahme- und Haftzentren zwar prekär, könnten aber nicht als unmenschlich oder entwür- 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 lung ausgesetzt wäre. Hierzu ist mit der Vorinstanz festzuhalten, dass sich die vom Beschwerdeführer geschilderten Erlebnisse in Bulgarien auf die Bedingungen bei einem Gefängnisaufenthalt (vgl. Sachverhalt B) und nicht auf jene in einem bulgarischen Flüchtlingslager beziehen. Für eine Ände- rung der Rechtsprechung besteht somit auch in Würdigung der vom Be- schwerdeführer gemachten Äusserungen zu seiner Behandlung in Bulga- rien – unabhängig von deren Glaubhaftigkeit– keine Veranlassung. Folglich ist die Anwendung von Art. 3 Abs. 2 Dublin-III-VO nicht gerechtfertigt.</w:t>
      </w:r>
    </w:p>
    <w:p>
      <w:r>
        <w:rPr>
          <w:b/>
        </w:rPr>
        <w:t>E. 7</w:t>
      </w:r>
    </w:p>
    <w:p>
      <w:r>
        <w:t>Nachfolgend ist zu prüfen, ob das Selbsteintrittsrecht nach Art. 17 Abs. 1 erster Satz Dublin-III-VO auszuüben ist.</w:t>
      </w:r>
    </w:p>
    <w:p>
      <w:r>
        <w:rPr>
          <w:b/>
        </w:rPr>
        <w:t>E. 7.1</w:t>
      </w:r>
    </w:p>
    <w:p>
      <w:r>
        <w:t>Der Beschwerdeführer macht im Wesentlichen geltend, bei einer Rück- kehr nach Bulgarien bestehe die Gefahr einer Verletzung von Art. 3 EMRK bzw. von Art. 7 UNO-Pakt II. Er habe Gewalt erlebt und sei verhaftet wor- den. Es sei davon auszugehen, dass er ohne vorgängig eingeholte Garan- tien auch keinen Zugang zu medizinischer Behandlung erhalten werde und</w:t>
      </w:r>
    </w:p>
    <w:p>
      <w:r>
        <w:t>D-729/2022 Seite 9 psychologische Unterstützung nicht verfügbar sei. Bei einer Wegweisung nach Bulgarien würde sich zudem sein Gesundheitszustand verschlech- tern. Gemäss öffentlichen Quellen bestehe zudem für afghanische Staats- angehörige ein grösseres Risiko, diskriminiert zu werden ([…]).</w:t>
      </w:r>
    </w:p>
    <w:p>
      <w:r>
        <w:rPr>
          <w:b/>
        </w:rPr>
        <w:t>E. 7.1.1</w:t>
      </w:r>
    </w:p>
    <w:p>
      <w:r>
        <w:t>Der Beschwerdeführer vermag in Bezug auf die Zustände in Bulga- rien nicht darzutun, dass die ihn bei einer Rückführung zu erwartenden Be- dingungen derart schlecht wären, dass sie zu einer Verletzung von Art. 4 der EU-Grundrechtecharta beziehungsweise Art. 3 EMRK oder Art. 7 UN- Pakt II führen könnten. Bei einer allfälligen vorübergehenden Einschrän- kung der ihm zustehenden Aufnahmebedingungen kann er sich – wie die Vorinstanz zutreffend festhielt –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Polizeigewalt. Der Beschwerdeführer hat keine Beweise für eine Zuwiderhandlung gegen die Aufnahmerichtlinie vorgelegt. Wie die Vorinstanz zutreffend festgehalten hat, sind die vom Be- schwerdeführer geschilderten Gewaltvorfälle als Missbrauch einzelner Be- amter zu betrachten, welche aufgrund der Möglichkeit, gegen dieses fehl- bare Verhalten rechtlich vorzugehen, nicht dem bulgarischen Staat anzu- lasten sind.</w:t>
      </w:r>
    </w:p>
    <w:p>
      <w:r>
        <w:rPr>
          <w:b/>
        </w:rPr>
        <w:t>E. 7.1.2</w:t>
      </w:r>
    </w:p>
    <w:p>
      <w:r>
        <w:t>Des Weiteren liegen keine konkreten Anhaltspunkte vor, wonach die Gesundheit des Beschwerdeführers bei einer Überstellung nach Bulgarien ernsthaft gefährdet würde. Gemäss eigenen Angaben leidet er an norma- len Kopfschmerzen, welche sich in der Schweiz ohne Arzttermin durch die Einnahme von Medikamenten verbessert hätten. Bisher habe er sich ver- geblich um einen psychologischen Beratungstermin bemüht ([…]). Weitere Probleme, abgesehen von Schlafstörungen, erwähnte er nicht ([…]). Sollte er dennoch nach der Rückkehr nach Bulgarien eine medizinische Behand- lung benötigen, ist darauf hinzuweisen, dass die Mitgliedstaaten verpflich- tet sind, den Antragstellern die erforderliche medizinische Versorgung, die zumindest die Notversorgung und die unbedingt erforderliche Behandlung von Krankheiten und schweren psychischen Störungen umfasst, zugäng- lich zu machen (Art. 19 Abs. 1 Aufnahmerichtlinie). Antragstellenden mit besonderen Bedürfnissen ist die erforderliche medizinische oder sonstige Hilfe, einschliesslich psychologischer Betreuung, zu gewähren (Art. 19 Abs. 2 Aufnahmerichtlinie). Der Beschwerdeführer hat nicht vorgebracht,</w:t>
      </w:r>
    </w:p>
    <w:p>
      <w:r>
        <w:t>D-729/2022 Seite 10 dass er in Bulgarien medizinisch nicht behandelt worden sei, beziehungs- weise ihm eine adäquate medizinische Behandlung seiner Kopfschmerzen verweigert worden sei. Es deutet somit nichts darauf hin, dass dem Be- schwerdeführer bei einer Rückkehr nach Bulgarien eine Verletzung von Art. 3 EMRK drohen würde.</w:t>
      </w:r>
    </w:p>
    <w:p>
      <w:r>
        <w:rPr>
          <w:b/>
        </w:rPr>
        <w:t>E. 7.1.3</w:t>
      </w:r>
    </w:p>
    <w:p>
      <w:r>
        <w:t>. Aufgrund vorstehender Erwägungen erübrigt sich die Prüfung, ob – wie vom Beschwerdeführer verlangt – in Bulgarien allfällige Garantien (Lebensumstände; Zugang zu medizinischer Versorgung) einzuholen wä- ren.</w:t>
      </w:r>
    </w:p>
    <w:p>
      <w:r>
        <w:rPr>
          <w:b/>
        </w:rPr>
        <w:t>E. 7.2</w:t>
      </w:r>
    </w:p>
    <w:p>
      <w:r>
        <w:t>Die angefochtene Verfügung ist nicht zu beanstanden; insbesondere sind den Akten entgegen der Auffassung des Beschwerdeführers keine Hinweise auf einen Ermessensmissbrauch oder ein Über- respektive Un- terschreiten des Ermessens zu entnehmen. Deshalb kann auf weiterfüh- rende Erwägungen in diesem Zusammenhang verzichtet werden.</w:t>
      </w:r>
    </w:p>
    <w:p>
      <w:r>
        <w:rPr>
          <w:b/>
        </w:rPr>
        <w:t>E. 7.3</w:t>
      </w:r>
    </w:p>
    <w:p>
      <w:r>
        <w:t>Nach dem Gesagten besteht kein Grund für die Anwendung der Ermes- sensklauseln von Art. 17 Dublin-III-VO.</w:t>
      </w:r>
    </w:p>
    <w:p>
      <w:r>
        <w:rPr>
          <w:b/>
        </w:rPr>
        <w:t>E. 8</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9</w:t>
      </w:r>
    </w:p>
    <w:p>
      <w:r>
        <w:t>Nach dem Gesagten ist die Beschwerde abzuweisen und die Verfügung der Vorinstanz zu bestätigen. Das Beschwerdeverfahren ist mit vorliegendem Urteil abgeschlossen, wes- halb sich die Anträge auf Gewährung der aufschiebenden Wirkung (ein- schliesslich Vollzugsstopps) sowie Verzicht auf die Erhebung eines Kos- tenvorschusses als gegenstandslos erweisen.</w:t>
      </w:r>
    </w:p>
    <w:p>
      <w:r>
        <w:rPr>
          <w:b/>
        </w:rPr>
        <w:t>E. 10.1</w:t>
      </w:r>
    </w:p>
    <w:p>
      <w:r>
        <w:t>Das mit der Beschwerde gestellte Gesuch um Gewährung der unent- geltlichen Prozessführung ist abzuweisen, da die Begehren – wie sich aus den vorstehenden Erwägungen ergibt – als aussichtslos zu bezeichnen</w:t>
      </w:r>
    </w:p>
    <w:p>
      <w:r>
        <w:t>D-729/2022 Seite 11 waren, weshalb die Voraussetzungen von Art. 65 Abs. 1 VwVG nicht erfüllt sind.</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D-729/2022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