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D-7290/2024 vom 18. Oktober 2024</w:t>
      </w:r>
    </w:p>
    <w:p>
      <w:r>
        <w:t>Bundesverwaltungsgericht, 2024-10-18, DE</w:t>
      </w:r>
    </w:p>
    <w:p>
      <w:r>
        <w:rPr>
          <w:b/>
        </w:rPr>
        <w:t xml:space="preserve">Quelle: </w:t>
      </w:r>
      <w:r>
        <w:t>https://mcp.opencaselaw.ch/entscheid/bvger_D-7290_2024_d20241018</w:t>
      </w:r>
    </w:p>
    <w:p>
      <w:r>
        <w:t>FR: TAF D-7290/2024 du 18 octobre 2024</w:t>
      </w:r>
    </w:p>
    <w:p>
      <w:r>
        <w:t>IT: TAF D-7290/2024 del 18 ottobre 2024</w:t>
      </w:r>
    </w:p>
    <w:p>
      <w:pPr>
        <w:pStyle w:val="Heading2"/>
      </w:pPr>
      <w:r>
        <w:t>Regeste</w:t>
      </w:r>
    </w:p>
    <w:p>
      <w:r>
        <w:t>Verweigerung vor&amp;uuml;bergehender Schutz | Verweigerung vorübergehender Schutz; Verfügung des SEM vom 18.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w:t>
      </w:r>
    </w:p>
    <w:p>
      <w:r>
        <w:t>D-7290/2024 Seite 6 treffend, nach Art. 106 Abs. 1 AsylG (i.V.m. Art. 72 AsylG), im Bereich des Ausländerrechts nach Art. 49 VwVG (vgl. BVGE 2014/26 E. 5).</w:t>
      </w:r>
    </w:p>
    <w:p>
      <w:r>
        <w:rPr>
          <w:b/>
        </w:rPr>
        <w:t>E. 3</w:t>
      </w:r>
    </w:p>
    <w:p>
      <w:r>
        <w:t>Über offensichtlich unbegründete respektive begründete Beschwerden wird in einzelrichterlicher Zuständigkeit mit Zustimmung eines zweiten Richters beziehungsweise einer zweiten Richterin entschieden (Art. 72 i.V.m. Art. 111 Bst. e AsylG). Wie nachstehend aufgezeigt wird, erweist sich die Beschwerde in einem Punkt als offensichtlich unbegründet, während sie sich in einem anderen Punkt als offensichtlich begründet erweist. Das Urteil ist folglich nur summarisch zu begründen (Art. 72 i.V.m. Art. 111a Abs. 2 AsylG). 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4.1</w:t>
      </w:r>
    </w:p>
    <w:p>
      <w:r>
        <w:t>Am 11. März 2022 hat der Bundesrat gestützt auf Art. 66 Abs. 1 AsylG eine Allgemeinverfügung zur Gewährung des vorübergehenden Schutzes im Zusammenhang mit der Situation in der Ukraine erlassen (vgl. BBI 2022 586; nachfolgend Allgemeinverfügung).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D-7290/2024 Seite 7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Aus der Begründungspflicht als Teilgehalt des rechtli- chen Gehörs ergibt sich, dass die Abfassung der Begründung dem Be- troffenen ermöglichen soll, den Entscheid sachgerecht anzufechten. Nicht erforderlich ist, dass sich die Begründung mit allen Parteistandpunkten ein- lässlich auseinandersetzt und jedes einzelne Vorbringen ausdrücklich wi- derlegt (vgl. BGE 143 III 65 E. 5.2).</w:t>
      </w:r>
    </w:p>
    <w:p>
      <w:r>
        <w:rPr>
          <w:b/>
        </w:rPr>
        <w:t>E. 5.2</w:t>
      </w:r>
    </w:p>
    <w:p>
      <w:r>
        <w:t>Die Begründung des SEM erfüllt diese Anforderung. Die Rüge, wonach die Nichterwähnung der erst auf Beschwerdeebene eingereichten Aufent- haltsbewilligung die Begründungspflicht verletze, ist offensichtlich unbe- gründet. Der Umstand, dass der Beschwerdeführer die Auffassung des SEM inhaltlich nicht teilt, beschlägt nicht die Begründungspflicht, sondern die materielle Rechtmässigkeit der Verfügung.</w:t>
      </w:r>
    </w:p>
    <w:p>
      <w:r>
        <w:rPr>
          <w:b/>
        </w:rPr>
        <w:t>E. 6.1</w:t>
      </w:r>
    </w:p>
    <w:p>
      <w:r>
        <w:t>Das SEM kommt zutreffend zum Schluss, dass der Beschwerdeführer keiner schutzbedürftigen Personenkategorie angehört, zumal es auch das Gericht als unglaubhaft erachtet, dass er über eine gültige ukrainische Auf- enthaltsbewilligung verfügt. Diesbezüglich kann auf die Aussagen des Be- schwerdeführers in der Anhörung vom 5. September 2024 verwiesen wer- den, wo er mehrmals explizit angab, keine zu besitzen und stets illegal in der Ukraine gelebt zu haben (vgl. act. […]-47/15 F12, F45, F47, F49 f., F73, F113 f.). Daran vermag auch die auf Beschwerdeebene eingereichte Karte «Permanent Residence Permit» nichts zu ändern, zumal die Angaben des Beschwerdeführers zum Erhalt dieser Karte respektive dem Umstand, dass diese wohl an eine falsche Adresse gesendet worden sei, weshalb er nichts von deren Existenz gewusst habe, nicht zu überzeugen vermag. Vielmehr legen diese Umstände den Schluss nahe, dass es sich dabei ent- weder um eine Fälschung oder aber um ein echtes, ihm aber nicht</w:t>
      </w:r>
    </w:p>
    <w:p>
      <w:r>
        <w:t>D-7290/2024 Seite 8 zustehendes Dokument handelt. Die bereits im vorinstanzlichen Verfahren eingereichte Fotografie einer Meldebescheinigung vermag die Existenz ei- ner Aufenthaltsbewilligung ebenfalls nicht zu belegen. Der Beschwerdefüh- rer gehört folglich nicht der Personenkategorie gemäss Ziffer I Buchstabe c der Allgemeinverfügung an, ungeachtet der Frage, ob er in Sicherheit und dauerhaft in die Türkei zurückkehren könnte.</w:t>
      </w:r>
    </w:p>
    <w:p>
      <w:r>
        <w:rPr>
          <w:b/>
        </w:rPr>
        <w:t>E. 6.2</w:t>
      </w:r>
    </w:p>
    <w:p>
      <w:r>
        <w:t>Aufgrund der offenkundig fehlenden gefestigten Beziehung zu einer uk- rainischen Staatsangehörigen fällt er auch nicht unter Ziffer I Buchstabe b der Allgemeinverfügung.</w:t>
      </w:r>
    </w:p>
    <w:p>
      <w:r>
        <w:rPr>
          <w:b/>
        </w:rPr>
        <w:t>E. 6.3</w:t>
      </w:r>
    </w:p>
    <w:p>
      <w:r>
        <w:t>Das SEM hat damit das Gesuch um Gewährung des vorübergehenden Schutzes zu Recht abgelehnt.</w:t>
      </w:r>
    </w:p>
    <w:p>
      <w:r>
        <w:rPr>
          <w:b/>
        </w:rPr>
        <w:t>E. 7.1</w:t>
      </w:r>
    </w:p>
    <w:p>
      <w:r>
        <w:t>Beabsichtigt das SEM, den vorübergehenden Schutz zu verweigern, so setzt es das Verfahren über die Anerkennung als Flüchtling oder das Wegweisungsverfahren unverzüglich fort (Art. 69 Abs. 4 AsylG). Wird im Rahmen eines Verfahrens um Schutz im Sinne von Art. 18 AsylG ersucht, so hat die Prüfung dieses Ersuchens im Rahmen eines ordentlichen Asyl- verfahrens zu erfolgen. Denn eine materielle Prüfung der Frage, ob die Vorbringen die Anforderungen gemäss Art. 3 und Art. 7 AsylG erfüllen, ist im Rahmen eines Verfahrens nach Art. 66 ff. AsylG nicht möglich, sondern hat nach einer vertieften Anhörung gemäss Art. 29 AsylG im Rahmen eines Asylverfahrens zu erfolgen. Als Asylgesuch gilt gemäss Art. 18 AsylG jede Äusserung, mit der eine Person zu erkennen gibt, dass sie die Schweiz um Schutz vor Verfolgung ersucht. Diesbezüglich gilt ein weiter Verfolgungs- begriff, der über die ernsthaften Nachteile nach Art. 3 AsylG hinausreicht (vgl. Urteil des BVGer D-5522/2023 und D-5520/2023 vom 18. Januar 2024 E. 6.1 m.w.H. m.w.H.).</w:t>
      </w:r>
    </w:p>
    <w:p>
      <w:r>
        <w:rPr>
          <w:b/>
        </w:rPr>
        <w:t>E. 7.2</w:t>
      </w:r>
    </w:p>
    <w:p>
      <w:r>
        <w:t>Bereits aus den Erwägungen des SEM zur sicheren Rückkehr in die Türkei ergibt sich, dass das SEM implizit selbst davon ausgeht, dass der Beschwerdeführer Gründe vorgebracht hat, die grundsätzlich unter den weiten Verfolgungsbegriff von Art. 18 AsylG zu subsumieren sind. So wür- den dem Beschwerdeführer im Heimatstaat Strafprozesse sowie eine Blut- fehde drohen, er habe physische Übergriffe durch Polizeibeamte erlitten, er sei anlässlich seiner letzten Ausreise am Flughafen zu Beleidigungen des Präsidenten befragt worden und schliesslich habe ihn ein früherer Ge- schäftspartner angezeigt, weil sein Sohn eine Schule der Gülen-Bewegung besucht habe.</w:t>
      </w:r>
    </w:p>
    <w:p>
      <w:r>
        <w:t>D-7290/2024 Seite 9</w:t>
      </w:r>
    </w:p>
    <w:p>
      <w:r>
        <w:rPr>
          <w:b/>
        </w:rPr>
        <w:t>E. 7.3</w:t>
      </w:r>
    </w:p>
    <w:p>
      <w:r>
        <w:t>Aus den vorstehenden Erwägungen ergibt sich, dass der Beschwerde- führer im Verfahren um Gewährung vorübergehenden Schutzes Gründe im Sinne von Art. 18 AsylG geltend gemacht und damit ein Asylgesuch gestellt hat. Die angefochtene Verfügung verletzt folglich Bundesrecht, soweit da- rin die Wegweisung des Beschwerdeführers aus der Schweiz und dem Schengen-Raum angeordnet wird (Dispositivziffern 2, 3 und 5). Die Be- schwerde ist demnach gutzuheissen. Die Dispositivziffern 2, 3 und 5 der Verfügung vom 18. Oktober 2024 sind aufzuheben und die Sache ist ge- stützt auf Art. 61 Abs. 1 VwVG zur Fortsetzung eines ordentlichen Asylver- fahrens an das SEM zurückzuweisen.</w:t>
      </w:r>
    </w:p>
    <w:p>
      <w:r>
        <w:rPr>
          <w:b/>
        </w:rPr>
        <w:t>E. 8.1</w:t>
      </w:r>
    </w:p>
    <w:p>
      <w:r>
        <w:t>Bei diesem Ausgang des Verfahrens wäre ein Teil der Kosten dem Be- schwerdeführer aufzuerlegen (Art. 63 Abs. 1 VwVG). Das Gesuch um Ge- währung der unentgeltlichen Prozessführung gemäss Art. 65 Abs. 1 VwVG ist jedoch gutzuheissen, zumal die Beschwerdebegehren hinsichtlich der Wegweisung und des Vollzugs nicht als aussichtlos bezeichnet werden können. Ferner ist die Bedürftigkeit durch die Fürsorgebestätigung vom 25. November 2024 belegt. Es sind folglich keine Verfahrenskosten zu erheben.</w:t>
      </w:r>
    </w:p>
    <w:p>
      <w:r>
        <w:rPr>
          <w:b/>
        </w:rPr>
        <w:t>E. 8.2</w:t>
      </w:r>
    </w:p>
    <w:p>
      <w:r>
        <w:t>Dem vertretenen Beschwerdeführer ist angesichts seines teilweisen Obsiegens in Anwendung von Art. 64 VwVG und Art. 7 Abs. 1 des Regle- ments vom 21. Februar 2008 über die Kosten und Entschädigungen vor dem Bundesverwaltungsgericht (VGKE, SR 173.320.2) eine Entschädi- gung für die ihm notwendigerweise erwachsenen Parteikosten zuzuspre- chen. Es rechtfertigt sich, von einem hälftigen Obsiegen auszugehen. Der in der Kostennote vom 20. November 2024 ausgewiesene Zeitaufwand wie auch die Spesen sind als angemessen zu bezeichnen und der Stundenan- satz liegt innerhalb der Bandbreite von Art. 10 Abs. 2 des Reglements über die Kosten und Entschädigungen vor dem Bundesverwaltungsgericht vom 21. Februar 2008 [VGKE, SR 173.320.2]). Die von der Vorinstanz zu ent- richtende Parteientschädigung ist folglich auf Fr. 998.95.– festzusetzen.</w:t>
      </w:r>
    </w:p>
    <w:p>
      <w:r>
        <w:rPr>
          <w:b/>
        </w:rPr>
        <w:t>E. 8.3</w:t>
      </w:r>
    </w:p>
    <w:p>
      <w:r>
        <w:t>Das Gesuch um Beiordnung eines amtlichen Rechtsbeistandes ge- mäss Art. 65 Abs. 1 VwVG in Verbindung mit Art. 102m AsylG ist gutzu- heissen. Der Rechtsvertreter, welcher die persönlichen Voraussetzungen gemäss Art. 102m Abs. 3 AsylG i.V.m. Art. 53 der Asylverordnung 1 vom</w:t>
      </w:r>
    </w:p>
    <w:p>
      <w:r>
        <w:rPr>
          <w:b/>
        </w:rPr>
        <w:t>E. 11</w:t>
      </w:r>
    </w:p>
    <w:p>
      <w:r>
        <w:t>August 1999 (AsylV 1, SR 142.311) erfüllt, ist antragsgemäss als amt- licher Rechtsbeistand einzusetzen.</w:t>
      </w:r>
    </w:p>
    <w:p>
      <w:r>
        <w:t>D-7290/2024 Seite 10 Ihm ist folglich – für den unterlegenen Teil – zulasten der Gerichtskasse ein amtliches Honorar zu entrichten. Der Stundenansatz ist praxisgemäss auf Fr. 150.– zu kürzen. Das amtliche Honorar beläuft sich folglich (gerundet) auf Fr. 630.– (Fr. 600.- [4*Fr. 150.–] plus Fr. 30.- [Spesen]).</w:t>
      </w:r>
    </w:p>
    <w:p>
      <w:r>
        <w:t>(Dispositiv nächste Seite)</w:t>
      </w:r>
    </w:p>
    <w:p>
      <w:r>
        <w:t>D-7290/2024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