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D-7288/2018 vom 3. Dezember 2019</w:t>
      </w:r>
    </w:p>
    <w:p>
      <w:r>
        <w:t>Bundesverwaltungsgericht, 2019-12-03, DE</w:t>
      </w:r>
    </w:p>
    <w:p>
      <w:r>
        <w:rPr>
          <w:b/>
        </w:rPr>
        <w:t xml:space="preserve">Quelle: </w:t>
      </w:r>
      <w:r>
        <w:t>https://mcp.opencaselaw.ch/entscheid/bvger_D-7288_2018</w:t>
      </w:r>
    </w:p>
    <w:p>
      <w:r>
        <w:t>FR: TAF D-7288/2018 du 3 décembre 2019</w:t>
      </w:r>
    </w:p>
    <w:p>
      <w:r>
        <w:t>IT: TAF D-7288/2018 del 3 dicembre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das Gericht nachfolgend die neue Gesetzesbezeichnung verwendet.</w:t>
      </w:r>
    </w:p>
    <w:p>
      <w:r>
        <w:rPr>
          <w:b/>
        </w:rPr>
        <w:t>E. 1.3</w:t>
      </w:r>
    </w:p>
    <w:p>
      <w:r>
        <w:t>Die Beschwerde ist frist- und formgerecht eingereicht (aArt.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2012/4 E. 2.2).</w:t>
      </w:r>
    </w:p>
    <w:p>
      <w:r>
        <w:rPr>
          <w:b/>
        </w:rPr>
        <w:t>E. 3.2</w:t>
      </w:r>
    </w:p>
    <w:p>
      <w:r>
        <w:t>Die Vorinstanz hat bezüglich der Frage der Wegweisung und des Wegweisungsvollzugs eine materielle Prüfung vorgenommen, weshalb dem Bundesverwaltungsgericht diesbezüglich volle Kognition zukommt.</w:t>
      </w:r>
    </w:p>
    <w:p>
      <w:r>
        <w:rPr>
          <w:b/>
        </w:rPr>
        <w:t>E. 4</w:t>
      </w:r>
    </w:p>
    <w:p>
      <w:r>
        <w:t>In der Beschwerde wird vorab gerügt, die Vorinstanz habe das Verfahren des Beschwerdeführers nicht mit dem hängigen Beschwerdeverfahren der Ehefrau koordiniert. Dies wäre angezeigt gewesen, weil die Ehefrau sich bei einem positiven Ausgang des Beschwerdeverfahrens auf Art. 8 EMRK berufen könnte. In diesem Fall müsste bei der Prüfung der Zulässigkeit des Wegweisungsvollzuges eine Verhältnismässigkeitsprüfung im Sinne von Art. 8 Abs. 2 EMRK vorgenommen werden, wobei gemäss Art. 3 Abs. 1 KRK das Kindswohl der zwei Kinder vorrangig zu berücksichtigen sei. Das SEM habe sich jedoch nicht mit den vorgebrachten Gründen, welchen gegen eine Familienvereinigung in Italien sprechen würden, auseinandergesetzt und somit das rechtliche Gehör verletzt. Weiter habe die Vorinstanz es unterlassen, das Kindswohl der Kinder in die Prüfung einfliessen zu lassen (vgl. Beschwerde S. 4 f.). Das vorliegende Beschwerdeverfahren wurde mit jenem der Ehefrau des Beschwerdeführers (D-1712/2017) koordiniert geführt. Die aufgeworfenen Fragen sind überdies mit Verweis auf die Erwägung 6 nicht Gegenstand des vorliegenden Verfahrens. Die formellen Rügen erweisen sich als unbegründet.</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Das SEM hat seinen Nichteintretensentscheid zutreffend damit begründet, dass der Beschwerdeführer nach Italien und damit in einen sicheren Drittstaat gemäss Art. 6a Abs. 2 Bst. b AsylG zurückkehren kann, wo er sich vorher aufgehalten hat und als Flüchtling anerkannt worden ist. Mit der Feststellung der Flüchtlingseigenschaft und der Erteilung einer (verlängerbaren) Aufenthaltsbewilligung haben die italienischen Behörden dem Beschwerdeführer Schutz vor Verfolgung gewährt, so dass er nach Italien zurückkehren kann, ohne eine Rückschiebung in Verletzung des Non-Refoulement-Gebotes befürchten zu müssen. Der Beschwerdeführer hat denn auch weder im erstinstanzlichen Verfahren noch auf Beschwerdeebene vorgebracht, es würde ihm in Italien eine Rückschiebung in seinen Heimatstaat unter Verletzung des Refoulement-Verbots drohen. Die italienischen Behörden haben sich am 10. September 2018 bereit erklärt, den Beschwerdeführer zurückzunehmen. Das SEM hat demzufolge zu Recht ein schutzwürdiges Interesse des Beschwerdeführers an der Feststellung der Flüchtlingseigenschaft in der Schweiz verneint und ist gestützt auf Art. 31a Abs. 1 Bst. a AsylG auf das Asylgesuch nicht eingetreten. Dass die Ehefrau und die Kinder des Beschwerdeführers in der Schweiz vorläufig aufgenommen sind, ändert nichts an diesem Ergebnis.</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AIG Anwendung.</w:t>
      </w:r>
    </w:p>
    <w:p>
      <w:r>
        <w:rPr>
          <w:b/>
        </w:rPr>
        <w:t>E. 6.2</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139 I 330 E. 2.1; 135 I 143 E. 1.3.1; 130 II 281 E. 3.1; EMARK 2005 Nr. 3 E. 3.1).</w:t>
      </w:r>
    </w:p>
    <w:p>
      <w:r>
        <w:rPr>
          <w:b/>
        </w:rPr>
        <w:t>E. 6.3</w:t>
      </w:r>
    </w:p>
    <w:p>
      <w:r>
        <w:t>Der Beschwerdeführer verfügt über keine ausländerrechtliche Aufenthaltsbewilligung. Seine religiös angetraute Ehefrau wurde wegen der Unzumutbarkeit des Vollzuges ihrer Wegweisung vorläufig aufgenommen und verfügt mithin über kein gefestigtes Aufenthaltsrecht in der Schweiz. Auf den Schutz des Privat- und Familienlebens können sich in Ausnahmesituationen nach der Rechtsprechung des Europäischen Gerichtshofs für Menschenrechte (EGMR) auch Personen berufen, deren Anwesenheit rechtlich nicht geregelt ist beziehungsweise die allenfalls über kein (gefestigtes) Aufenthaltsrecht verfügen, deren Anwesenheit aber faktisch als Realität hingenommen wird beziehungsweise aus objektiven Gründen hingenommen werden muss (vgl. BGE 138 I 246 E. 3.3.1). Abgesehen von dieser - im vorliegenden Fall nicht auszugehenden - Ausnahmesituation gilt: Wer über kein gefestigtes Anwesenheitsrecht verfügt, kann ein solches auch nicht einem Dritten verschaffen, selbst wenn eine gelebte familiäre Beziehung zur Diskussion stünde (vgl. BGE 130 II 281 E. 3.1 [S. 286]).</w:t>
      </w:r>
    </w:p>
    <w:p>
      <w:r>
        <w:rPr>
          <w:b/>
        </w:rPr>
        <w:t>E. 6.4</w:t>
      </w:r>
    </w:p>
    <w:p>
      <w:r>
        <w:t>Der Beschwerdeführer hat in der Schweiz ein Asylgesuch gestellt, obwohl er bereits in Italien als Flüchtling anerkannt wurde und dort Schutz geniesst. Das hauptsächliche Anliegen des Beschwerdeführers liegt denn auch nicht in der Behandlung seines Asylgesuchs, sondern in einer Familienzusammenführung mit seiner Ehefrau und den Kindern (vgl. Akten SEM A7/12 Ziff. 8.01). Das (schweizerische) Asylverfahren darf indes nicht dazu verwendet werden, die gesetzlichen Bestimmungen über den Familiennachzug zu umgehen (vgl. in Bezug auf Art. 51 Abs. 1 AsylG das Urteil E-4639/2017 vom 25. September 2019 E. 5.7 [zur Publikation vorgesehen]). Vom Beschwerdeführer und seiner Ehefrau kann verlangt werden, dass sie nach Erfüllung der gesetzlichen Voraussetzungen das dafür vorgesehene Verfahren gemäss Art. 85 Abs. 7 AIG und Art. 74 der Verordnung vom 24. Oktober 2007 über Zulassung, Aufenthalt und Erwerbstätigkeit (VZAE, SR 142.201) bei der zuständigen kantonalen Behörde einleiten (vgl. etwa die Urteile des BVGer D-4228/2017/D-4663/2017 vom 13. Juni 2018 E. 5.2 und D-2673/2017 vom 16. Mai 2017 E. 5.2.5; vgl. ebenfalls das Urteil des BVGer E-4639/2017 vom 25. September 2019 E. 6 [zur Publikation vorgesehen]). Hinsichtlich des Kindswohls ist anzumerken, dass mit einer Überstellung des Beschwerdeführers in einen Nachbarstaat (Italien) angesichts der geltenden Visumvorschriften weder ein persönlicher noch der telefonische Kontakt zu seinen Kindern verunmöglicht wird. Die Wegweisung wurde demnach vom SEM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7.2.1</w:t>
      </w:r>
    </w:p>
    <w:p>
      <w:r>
        <w:t>Der Vollzug der Wegweisung ist nach Art. 83 Abs. 3 AIG unzulässig, wenn völkerrechtliche Verpflichtungen der Schweiz einer Weiterreise der Ausländerin oder des Ausländers in den Heimat-, Herkunfts- oder einen Drittstaat entgegenstehen.</w:t>
      </w:r>
    </w:p>
    <w:p>
      <w:r>
        <w:rPr>
          <w:b/>
        </w:rPr>
        <w:t>E. 7.2.2</w:t>
      </w:r>
    </w:p>
    <w:p>
      <w:r>
        <w:t>Nachdem der Beschwerdeführer in Italien als Flüchtling anerkannt wurde, besteht kein Anlass zur Annahme, es drohe ihm eine Verletzung des in Art. 33 Abs. 1 des Abkommens vom 28. Juli 1951 über die Rechtsstellung der Flüchtlinge (FK, SR 0.142.30) verankerten Grundsatzes der Nichtrückschiebung.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Es besteht kein "real risk" im Sinne einer konkreten Verweigerung seitens von Italien, dem Beschwerdeführer die Minimalgarantien im Sinne der genannten EU-Richtlinie zu gewähren (vgl. auch Urteil des BVGer E-4639/2017 vom 25. September 2019 E. 5.5 [zur Publikation vorgesehen]).</w:t>
      </w:r>
    </w:p>
    <w:p>
      <w:r>
        <w:rPr>
          <w:b/>
        </w:rPr>
        <w:t>E. 7.2.3</w:t>
      </w:r>
    </w:p>
    <w:p>
      <w:r>
        <w:t>Bezüglich seines Wunsches um Zusammenleben mit E._______ und den Kindern und der geltend gemachten Verletzung von Art. 8 EMRK und der KRK ist auf die Ausführungen zur Wegweisung in Erwägung 6 respektive auf das dafür vorgesehene Familienzusammenführungsverfahren zu verweisen. Dem Beschwerdeführer kann zugemutet werden, von Italien aus ein solches Verfahren - entweder in Italien oder der Schweiz - anzustrengen. Der mit der Trennung einhergehende Eingriff ist verhältnismässig, zumal die Aufrechterhaltung des Kontakts auch bei der räumlichen Trennung möglich ist und nur von vorübergehender Dauer wäre, sofern das Familiennachzugsverfahren positiv verlaufen würde.</w:t>
      </w:r>
    </w:p>
    <w:p>
      <w:r>
        <w:rPr>
          <w:b/>
        </w:rPr>
        <w:t>E. 7.2.4</w:t>
      </w:r>
    </w:p>
    <w:p>
      <w:r>
        <w:t>Der Vollzug der Wegweisung nach Italien erweist sich somit als zulässig.</w:t>
      </w:r>
    </w:p>
    <w:p>
      <w:r>
        <w:rPr>
          <w:b/>
        </w:rPr>
        <w:t>E. 7.3.1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7.3.2</w:t>
      </w:r>
    </w:p>
    <w:p>
      <w:r>
        <w:t>Die Vorinstanz hat in der angefochtenen Verfügung die Zumutbarkeit des Wegweisungsvollzugs mit zutreffender Begründung bejaht. Zur Vermeidung von Wiederholungen kann auf die betreffenden Erwägungen in der angefochtenen Verfügung und der Vernehmlassung (vgl. Bst. J.b und P) verwiesen werden. In der Beschwerdeschrift finden sich keine Einwendungen, welche zu einer anderen Betrachtungsweise führen könnten. Als anerkannter Flüchtling hat er Anspruch auf die gleiche Fürsorge und öffentliche Unterstützung wie italienische Staatsbürger (Art. 23 FK) und ihm stehen in Italien die Rechte aus der erwähnten Richtlinie 2011/95/EU zu. Dazu gehören Ansprüche bezüglich Zugang zu Wohnraum, Sozialleistungen und medizinischer Versorgung. Es liegen keine erhärteten Hinweise vor, wonach sich Italien systematisch nicht an seine diesbezüglichen Verpflichtungen halten würde. Somit obliegt es dem Beschwerdeführer, bei den zuständigen Behörden seine Rechte betreffend finanzielle oder anderweitige Unterstützung geltend zu machen und nötigenfalls auf dem Rechtsweg durchzusetzen. Insgesamt besteht kein Anlass zur Annahme, er würde im Falle einer Rückführung nach Italien in eine existenzielle Notlage geraten (vgl. etwa Urteil des BVGer D-4635/2019 vom 19. September 2019 E. 9.3). Die auf Beschwerdeebene erwähnten respektive eingereichten Berichte vermögen dabei nicht zu einer anderen Beurteilung zu führen. Damit erweist sich der Vollzug der Wegweisung in den EU-Mitgliedstaat Italien nicht als unzumutbar.</w:t>
      </w:r>
    </w:p>
    <w:p>
      <w:r>
        <w:rPr>
          <w:b/>
        </w:rPr>
        <w:t>E. 7.4</w:t>
      </w:r>
    </w:p>
    <w:p>
      <w:r>
        <w:t>Gemäss Art. 44 AsylG ist beim Vollzug einer angeordneten Wegweisung der Grundsatz der Einheit der Familie zu berücksichtigen. Art. 44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c/ee; 1995 Nr. 24 E. 9, die sich hierfür freilich noch auf Art. 17 Abs. 1 AsylG in der Fassung gemäss Ziff. I des BB vom 22. Juni 1990 über das Asylverfahren [AS 1990 938] beziehen, welcher inhaltlich indessen Art. 44 AsylG entspricht). Diese Regel gilt jedoch nicht ausnahmslos. Nicht zur Anwendung gelangt der Grundsatz der Einheit der Familie unter anderem dann, wenn die einzubeziehende Person - wie vorliegend der Beschwerdeführer am 9. August 2017 - in die Schweiz eingereist ist, nachdem ein Familienmitglied - wie vorliegend seine Ehefrau und sein Sohn mit Verfügung des SEM vom 15. Februar 2017 - die vorläufige Aufnahme erhalten hat, da in dieser Konstellation von einer Umgehung der ausländerrechtlichen Nachzugsbestimmung gemäss Art. 85 Abs. 7 AIG auszugehen ist (vgl. BVGE 2017 VII/8 E. 5.3).</w:t>
      </w:r>
    </w:p>
    <w:p>
      <w:r>
        <w:rPr>
          <w:b/>
        </w:rPr>
        <w:t>E. 7.5</w:t>
      </w:r>
    </w:p>
    <w:p>
      <w:r>
        <w:t>Die zuständigen italienischen Behörden haben gestützt auf das einschlägige Abkommen die Rückübernahme des Beschwerdeführers am 10. September 2018 explizit zugesichert. Der Vollzug der Wegweisung des Beschwerdeführers nach Italien erweist sich somit auch als möglich im Sinne von Art. 83 Abs. 2 AIG.</w:t>
      </w:r>
    </w:p>
    <w:p>
      <w:r>
        <w:rPr>
          <w:b/>
        </w:rPr>
        <w:t>E. 7.6</w:t>
      </w:r>
    </w:p>
    <w:p>
      <w:r>
        <w:t>Zusammenfassend ergibt sich, dass der vom SEM angeordnete Wegweisungsvollzug nicht zu beanstanden ist. Eine Anordnung der vorläufigen Aufnahme fällt demnach ausser Betracht (vgl.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dem Beschwerdeführer aufzuerlegen (Art. 63 Abs. 1 und 5 VwVG). Vorliegend wurde indes der Antrag auf unentgeltliche Prozessführung im Sinne von Art. 65 Abs. 1 VwVG mit Zwischenverfügung vom 17. Januar 2019 gutgeheissen. Es sind daher keine Verfahrenskosten zu erheben.</w:t>
      </w:r>
    </w:p>
    <w:p>
      <w:r>
        <w:rPr>
          <w:b/>
        </w:rPr>
        <w:t>E. 9.2</w:t>
      </w:r>
    </w:p>
    <w:p>
      <w:r>
        <w:t>Das Gesuch vom 19. November 2019 um Entlassung von Rechtsanwältin Raffaella Massara aus dem öffentlich-rechtlichen Mandat und um Einsetzung von lic. iur. Rebekka Hafner als neue amtliche Rechtsbeiständin wird mit Erlass des vorliegenden Urteils gegenstandslos (vgl. Bst. T).</w:t>
      </w:r>
    </w:p>
    <w:p>
      <w:r>
        <w:rPr>
          <w:b/>
        </w:rPr>
        <w:t>E. 9.3</w:t>
      </w:r>
    </w:p>
    <w:p>
      <w:r>
        <w:t>Mit Zwischenverfügung vom 17. Januar 2019 wurde der Antrag auf Gewährung der unentgeltlichen Rechtsverbeiständung gutgeheissen und Rechtsanwältin Raffaella Massara als amtliche Rechtsbeiständin beigeordnet. Das Bundesverwaltungsgericht geht bei anwaltlicher Vertretung bei amtlicher Vertretung durch eine Rechtsberatungsstelle in der Regel von einem Stundenansatz von Fr. 200.- bis Fr. 220.- aus (vgl. Art. 12 i.V.m. Art. 10 Abs. 2 VGKE). Die Rechtsvertreterin reichte eine Honorarnote vom 12. März 2019 in der Höhe von Fr. 3142.07 (inklusive Auslagen und Mehrwertsteuerzuschlag) ein. Der ausgewiesene zeitliche Aufwand von 13.05 Stunden, die Spesen von Fr. 50.- sowie der verrechnete Stundenansatz von Fr. 220.- erscheinen angemessen. Rechtsanwältin Raffaella Massara ersuchte in ihrem Schreiben vom 19. November 2019 darum, ein ihr zustehendes amtliches Honorar sei ihrer bisherigen Arbeitgeberin auszurichten. Der (...) ist deshalb ein Honorar von Fr. 3142.-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