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D-7288/2017 vom 18. Februar 2019</w:t>
      </w:r>
    </w:p>
    <w:p>
      <w:r>
        <w:t>Bundesverwaltungsgericht, 2019-02-18, DE</w:t>
      </w:r>
    </w:p>
    <w:p>
      <w:r>
        <w:rPr>
          <w:b/>
        </w:rPr>
        <w:t xml:space="preserve">Quelle: </w:t>
      </w:r>
      <w:r>
        <w:t>https://mcp.opencaselaw.ch/entscheid/bvger_D-7288_2017</w:t>
      </w:r>
    </w:p>
    <w:p>
      <w:r>
        <w:t>FR: TAF D-7288/2017 du 18 février 2019</w:t>
      </w:r>
    </w:p>
    <w:p>
      <w:r>
        <w:t>IT: TAF D-7288/2017 del 18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Da das SEM den Beschwerdeführer mit Verfügung vom 11. Januar 2018 wegen des unzumutbaren Wegweisungsvollzugs vorläufig aufgenommen hat, besteht hinsichtlich der Beschwerdebegehren im Vollzugspunkt kein Rechtsschutzinteresse mehr, weshalb die Beschwerde in diesem Punkt gegenstandslos geworden ist.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machte das SEM in Bezug auf den Asylpunkt im Wesentlichen geltend, dem Interesse der Taliban an der Person des Beschwerdeführers liege kein Motiv im Sinne von Art. 3 AsylG zugrunde. Es handle sich auch um Mutmassungen, dass sich die Taliban für die Schüsse auf ihre Männer hätten rächen wollen und es sich bei den Eindringlingen auch tatsächlich um Angehörige der Taliban gehandelt habe. Die Vorbringen seien demnach nicht als asylrechtlich relevant zu qualifizieren. Schliesslich sei auf die vorhandenen Schutzmöglichkeiten durch die afghanischen Behörden in Mazar-i-Sharif hinzuweisen. So spreche das Verhalten der Polizei nach Erhalt der Drohbriefe und nach dem Vorfall, als er auf die unbekannten Personen geschossen hätte, für deren Schutzfähigkeit und Schutzwillen. Die Polizei sei nach dem Anruf seines Vaters umgehend gekommen, hätte Soldaten zum Schutz postiert und die Patrouillen im Gebiet verstärkt. Nach zweijähriger Abwesenheit sei zudem kaum davon auszugehen, dass nach wie vor nach ihm gesucht würde. Bei neuen Schwierigkeiten könne er sich aber wieder an die Sicherheitsbehörden wenden. Auch das Bundesverwaltungsgericht habe bereits auf die Schutzfähigkeit und Schutzwilligkeit der Behörden in Mazar-i-Sharif hingewiesen, wobei hervorgehoben worden sei, dass keine faktische Garantie für langfristigen individuellen Schutz verlangt werden könne. Durch die Behelligungen und Bedrohungen seines Vaters könne für den Beschwerdeführer keine Asylrelevanz abgeleitet werden. Es erstaune ferner, dass seine Familie nach wie vor in Mazar-i-Sharif lebe, während ihm zur Ausreise geraten worden sei.</w:t>
      </w:r>
    </w:p>
    <w:p>
      <w:r>
        <w:rPr>
          <w:b/>
        </w:rPr>
        <w:t>E. 4.2</w:t>
      </w:r>
    </w:p>
    <w:p>
      <w:r>
        <w:t>In ihrer Beschwerde machte der Beschwerdeführer in Bezug auf den Asylpunkt in Wesentlichen geltend, seine Familie habe aufgrund der anhaltenden Bedrohungen aus Afghanistan ausreisen müssen und lebe nun im Iran respektive in der Türkei. Polizisten würden in Afghanistan eine soziale Gruppe darstellen, die - insbesondere durch die Taliban - asylrelevant verfolgt werden können. Sein Vater sei als Polizist und zuständige Person für (...) ein Feindbild für die Taliban und deshalb gezielt in ihr Visier geraten. Zum Zeitpunkt seiner Ausreise sei er (der Beschwerdeführer) - durch die Schüsse aus Notwehr auf die Taliban und die damit verbundene Angst vor Rache - Massnahmen ausgesetzt gewesen, die in ihrer Gesamtheit zu einem unerträglichen psychischen Druck geführt hätten. Es sei nicht nachvollziehbar, dass die Vorinstanz anzweifle, dass es sich bei den Eindringlingen um Angehörige der Taliban gehandelt habe, zumal die Familie mit keinen anderen Personen Probleme gehabt habe und auch die Drohbriefe von den Taliban stammten. Die Behörden in Mazar-i-Sharif seien offensichtlich nicht in der Lage gewesen, die Familienangehörigen zu schützen. Bei einer Rückkehr würde ihm aufgrund seines Profils und seines familiären Hintergrunds eine flüchtlingsrechtlich relevante Verfolgung drohen.</w:t>
      </w:r>
    </w:p>
    <w:p>
      <w:r>
        <w:rPr>
          <w:b/>
        </w:rPr>
        <w:t>E. 5.1</w:t>
      </w:r>
    </w:p>
    <w:p>
      <w:r>
        <w:t>Der Beschwerdeführer macht im Wesentlichen eine Gefährdung durch die Taliban geltend. Zum einen habe er auf zwei mutmassliche Mitglieder geschossen und zum anderen sei er als Sohn eines bedrohten Polizisten im Sinne einer Reflexverfolgung gefährdet.</w:t>
      </w:r>
    </w:p>
    <w:p>
      <w:r>
        <w:rPr>
          <w:b/>
        </w:rPr>
        <w:t>E. 5.2</w:t>
      </w:r>
    </w:p>
    <w:p>
      <w:r>
        <w:t>Art. 3 Abs. 1 AsylG sowie auch das Abkommen vom 28. Juli 1951 über die Rechtsstellung der Flüchtlinge (FK, SR 0.142.30) nennen abschliessend fünf Verfolgungsmotive: Rasse, Religion, Nationalität, Zugehörigkeit zu einer bestimmten sozialen Gruppe, politische Anschauung. Die Erfüllung der Flüchtlingseigenschaft ist aber gemäss geltender Praxis nicht von einer bestimmten Definition eines Verfolgungsmotivs abhängig, bestimmt doch letztlich der Verfolger allein, wen er weshalb verfolgt. Ausschlaggebend ist deshalb vielmehr, ob die Verfolgung wegen äusserer oder innerer Merkmale erfolgt ist beziehungsweise künftig droht, die untrennbar mit der Person oder Persönlichkeit des Opfers verbunden sind. Verfolgung im Sinne des Asylgesetzes und der FK erfolgt immer wegen des Seins, nicht wegen des Tuns; zwar kann der Verfolger gleichfalls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(Entscheidungen und Mitteilungen der Schweizerischen Asylrekurskommission [EMARK] 2006 Nr. 32 E. 8.7.1 sowie Walter Stöckli, Asyl, in: Uebersax/Rudin/Hugi Yar/Geiser [Hrsg.], Ausländerrecht, 2. Aufl., Basel 2009, Rz. 11.11).</w:t>
      </w:r>
    </w:p>
    <w:p>
      <w:r>
        <w:rPr>
          <w:b/>
        </w:rPr>
        <w:t>E. 5.3</w:t>
      </w:r>
    </w:p>
    <w:p>
      <w:r>
        <w:t>Vorliegend ist übereinstimmend mit der Vorinstanz festzustellen, dass es den Vorbringen des Beschwerdeführers am Verfolgungsmotiv im Sinne von Art. 3 AsylG fehlt. Dem Beschwerdeführer ist es nicht gelungen darzulegen, welches der im schweizerischen Asylgesetz respektive im Abkommen vom 28. Juli 1951 über die Rechtsstellung der Flüchtlinge (FK, SR 0.142.30) aufgezählten Verfolgungsmotive der Verfolgungshandlung zugrunde liegt. So gelangte der Beschwerdeführer aufgrund der Schussabgabe mutmasslich ins Visier der Taliban. Diese vorgebrachte Gefährdung kann jedoch weder als politisch, ethnisch, rassistisch, nationalistisch noch aufgrund der sozialen Zugehörigkeit motivierte Behelligungen erklärt respektive begründet werden, sondern wäre - soweit sich die Befürchtungen des Beschwerdeführers erfüllt hätten - als krimineller Racheakt der Taliban im Kontext des Afghanistankonflikts zu qualifizieren, welchem nach der Schweizer Asylpraxis keine flüchtlingsrechtliche Relevanz zukommt. Aus den Aussagen des Beschwerdeführers kommt denn auch klar hervor, dass sich die afghanische Polizei ihnen gegenüber auch schutzwillig gezeigt hat und den erfragten Schutz nicht aus einem flüchtlingsrechtlich relevanten Motiv verweigert hätte. In der Beschwerde wird zwar geltende gemacht, Polizisten würden in Afghanistan eine soziale Gruppe repräsentieren. Dem ist indessen in casu zu widersprechen, da der Beruf des Polizisten nicht untrennbar mit der Persönlichkeit verknüpft ist. Es handelt sich somit um ein "Tun" und nicht um ein flüchtlingsrechtlich relevantes "Sein". Somit fehlt es auch der geltend gemachten Reflexverfolgung am flüchtlingsrechtlich relevanten Motiv.</w:t>
      </w:r>
    </w:p>
    <w:p>
      <w:r>
        <w:rPr>
          <w:b/>
        </w:rPr>
        <w:t>E. 5.4</w:t>
      </w:r>
    </w:p>
    <w:p>
      <w:r>
        <w:t>Die Drohungen der Taliban und somit von privaten Drittpersonen wären allenfalls - würde eine Schutzunfähigkeit oder -unwilligkeit der afghanischen Behörden festgestellt - im Rahmen der Wegweisungsvollzugsprüfung relevant, da aufgrund dessen der Wegweisungsvollzug im Sinne von Art. 3 EMRK unzulässig erscheinen könnte. Jedoch ist diesbezüglich auf die alternative Natur der drei Bedingungen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Falls die Bedingungen für eine vorläufige Aufnahme bereits aus einem Grund erfüllt sind, ist das SEM nicht verpflichtet, alle zusätzlichen Gründe, welche ebenfalls gegen einen Wegweisungsvollzug sprechen, weiter zu prüfen, zumal im Falle einer beabsichtigten Aufhebung der vorläufigen Aufnahme allemal zu prüfen wäre, ob individuelle, in den persönlichen Vorbringen des Asylsuchenden liegende Gründe einem Vollzug (weiterhin) entgegenstehen würden.</w:t>
      </w:r>
    </w:p>
    <w:p>
      <w:r>
        <w:rPr>
          <w:b/>
        </w:rPr>
        <w:t>E. 5.5</w:t>
      </w:r>
    </w:p>
    <w:p>
      <w:r>
        <w:t>Zusammenfassend ergibt sich, dass keine asylrechtlich relevanten Verfolgungsgründe ersichtlich sind, weshalb die Vorinstanz zu Recht die Flüchtlingseigenschaft verneint und das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der Beschwerdeführer sei zum heutigen Zeitpunkt angesichts der Entwicklung in Afghanistan nicht gefährdet. Indessen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Mazar-i-Sharif im Sinne von Art. 83 Abs. 4 AuG wurde durch die Vorinstanz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sie nicht gegenstandslos geworden ist.</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durch die teilweise Wiedererwägung der Verfügung durch das SEM obsiegt. Praxisgemäss bedeutet dies ein hälftiges Obsiegen.</w:t>
      </w:r>
    </w:p>
    <w:p>
      <w:r>
        <w:rPr>
          <w:b/>
        </w:rPr>
        <w:t>E. 8.2</w:t>
      </w:r>
    </w:p>
    <w:p>
      <w:r>
        <w:t>Nach dem Gesagten wären die Verfahrenskosten zur Hälfte dem Beschwerdeführer aufzuerlegen (Art. 63 Abs. 1 VwVG). Da der mit der Beschwerde gestellte Antrag auf unentgeltliche Prozessführung mit Verfügung vom 9. Januar 2018 gutgeheissen wurde, hat er vorliegend keine Verfahrenskosten zu tragen.</w:t>
      </w:r>
    </w:p>
    <w:p>
      <w:r>
        <w:rPr>
          <w:b/>
        </w:rPr>
        <w:t>E. 8.3</w:t>
      </w:r>
    </w:p>
    <w:p>
      <w:r>
        <w:t>Der Beschwerdeführer ist im Umfang seines Obsiegens - hier also hälftig - für die ihm erwachsenen notwendigen Kosten zu entschädigen (Art. 64 Abs. 1 VwVG; Art. 7 ff. VGKE). Die Rechtsvertreterin hat am 24. Januar 2018 eine Kostennote vorgelegt, in welcher ein Aufwand von 8.25 Stunden zu Fr. 220.- (exkl. Mehrwertsteuer) geltend gemacht wird. Der Aufwand (von insgesamt Fr. 1955.-, inkl. Mehrwertsteuer) ist in zeitlicher und finanzieller Hinsicht als angemessen zu erkennen. Das SEM ist demnach anzuweisen, dem Beschwerdeführer eine Parteientschädigung hälftig in der Höhe von Fr. 980.- auszurichten.</w:t>
      </w:r>
    </w:p>
    <w:p>
      <w:r>
        <w:rPr>
          <w:b/>
        </w:rPr>
        <w:t>E. 8.4</w:t>
      </w:r>
    </w:p>
    <w:p>
      <w:r>
        <w:t>Nachdem die rubrizierte Rechtsvertreterin dem Beschwerdeführer als amtliche Rechtsbeiständin beigeordnet worden ist (vgl. Art. 110a Abs. 1 AsylG), ist sie im Weiteren für ihren Aufwand unbesehen des Ausgangs des Verfahrens zu entschädigen, soweit dieser sachlich notwendig war (vgl. Art. 12 i.V.m. Art. 8 Abs. 2 des Reglements vom 21. Februar 2008 über die Kosten und Entschädigungen vor dem Bundesverwaltungsgericht [VGKE, SR 173.320.2]). Das Gericht geht praxisgemäss bei amtlicher Vertretung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in der Kostennote angegebene Stundenansatz von Fr. 220.- ist somit angemessen. Der Rechtsvertreterin ist danach der weitere Aufwand hälftig zulasten der Gerichtskasse als amtliches Honorar in Höhe von Fr. 980.-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