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D-7287/2009 vom 7. April 2011</w:t>
      </w:r>
    </w:p>
    <w:p>
      <w:r>
        <w:t>Bundesverwaltungsgericht, 2011-04-07, DE</w:t>
      </w:r>
    </w:p>
    <w:p>
      <w:r>
        <w:rPr>
          <w:b/>
        </w:rPr>
        <w:t xml:space="preserve">Quelle: </w:t>
      </w:r>
      <w:r>
        <w:t>https://mcp.opencaselaw.ch/entscheid/bvger_D-7287_2009</w:t>
      </w:r>
    </w:p>
    <w:p>
      <w:r>
        <w:t>FR: TAF D-7287/2009 du 7 avril 2011</w:t>
      </w:r>
    </w:p>
    <w:p>
      <w:r>
        <w:t>IT: TAF D-7287/2009 del 7 aprile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Im vorliegenden Fall besteht Anlass zur Frage, ob die Vorinstanz im Rah­men der angefochtenen Verfügung ihren Pflichten, die sich aus dem An­spruch des Beschwerdeführers auf recht­liches Gehör ergeben, hinrei­chend nach­gekom­men ist.</w:t>
      </w:r>
    </w:p>
    <w:p>
      <w:r>
        <w:rPr>
          <w:b/>
        </w:rPr>
        <w:t>E. 4.2</w:t>
      </w:r>
    </w:p>
    <w:p>
      <w:r>
        <w:t>Der Anspruch auf rechtliches Gehör wird durch Art. 29-33 VwVG kon­k­retisiert. Demnach umfasst dieser Anspruch als Teil­aspekte einen An­spruch der Parteien auf vorgängige Anhörung durch die Behörde (Art. 30 und 30a VwVG), auf Anhörung in Bezug auf erhebli­che Vorbringen einer Ge­genpartei (Art. 31 VwVG), auf Prüfung eigener er­heblicher Vorbringen durch die Behörde (Art. 32 VwVG) sowie auf Ab­nahme der angebotenen und tauglichen Beweise durch die Behörde (Art. 33 VwVG). Antworten auf die Frage, welche spezifischen Teilgehalte der Anspruch des rechtlichen Gehörs im Einzelnen umfasse, können sich darüber hinaus auch unmittel­bar aus dem übergeordneten Verfassungs­recht in Gestalt des Art. 29 Abs. 2 der Bundesverfassung der Schweizeri­schen Eidgenossen­schaft vom 18. April 1999 (BV, SR 101) ergeben.</w:t>
      </w:r>
    </w:p>
    <w:p>
      <w:r>
        <w:rPr>
          <w:b/>
        </w:rPr>
        <w:t>E. 4.3</w:t>
      </w:r>
    </w:p>
    <w:p>
      <w:r>
        <w:t>Der mit Grundrechtsqualität ausgestattete Grundsatz des recht­lichen Gehörs im Sinne von Art. 29 Abs. 2 BV umfasst unbestrittener­massen eine Anzahl verschie­dener verfassungsrechtlicher Verfahrensgarantien (vgl. aus der Litera­tur Michele Albertini, Der ver­fassungsmässige An­spruch auf rechtliches Gehör im Verwaltungsver­fahren des modernen Staa­tes, Bern 2000, S. 202 ff.; Andreas Auer/Giorgio Malinverni/Michel Hot­telier, Droit constitutionnel suisse. Vol. II. Les droits fondamentaux, 2. Aufl., Bern 2006, S. 606 ff.; Benoit Bovay, Procédure administra­tive, Bern 2000, S. 207 ff.; Ulrich Häfelin/Georg Müller/Felix Uhl­mann, Allgemei­nes Verwal­tungsrecht, 5. Aufl., Zürich/Ba­sel/Genf/St. Gal­len 2006, S. 360 ff.; Alfred Kölz/Isabelle Häner, Verwal­tungsverfahren und Ver­wal­tungsrechtspflege des Bun­des, 2. Aufl., Zü­rich 1998, S. 46, 107 ff.; Markus Schefer, Grund­rechte in der Schweiz, Bern 2005, S. 285 ff.). Zu­nächst - und für die Prozessparteien regel­mässig im Vordergrund ste­hend - gehört dazu das Recht auf vorgän­gige Äusserung und An­hörung, welches den Betroffe­nen einen Einfluss auf die Ermittlung des wesentli­chen Sachverhaltes sichert. Unerlässliches Gegenstück der Mitwirkungs­rechte der Parteien bildet ausser­dem als weiterer Teilge­halt des recht­li­chen Gehörs die Pflicht der Behö­den, die Vorbringen der Betroffenen sorg­fältig und ernsthaft zu prüfen und in der Entscheidfindung zu be­rücksich­tigen; daraus folgt schliesslich auch die in Art. 35 Abs. 1 VwVG ge­setzlich niedergelegte grundsätzliche Pflicht der Behörden, ihren Ent­scheid zu begründen (BGE 123 I 31 E. 2c; vgl. Auer/Mal­inverni/Hottelier, a.a.O., S. 611 ff.; Reinhold Hotz, St. Galler Kom­men­tar zu Art. 29 BV, Rz. 34 ff.; Kölz/Häner, a.a.O., S. 119; Schefer, a.a.O., S. 300 ff.). Die Be­gründung eines Ent­scheids soll der betroffenen Person die Tat­sachen und Rechtsnormen zur Kennt­nis bringen, die für die entschei­dende Behörde massgeblich waren. Damit soll der Adressat des Ent­scheids ausserdem in die Lage versetzt werden, den Entscheid sach­gerecht anzufechten (vgl. Felix Uhlmann/Alexandra Schwank, in: Bern­hard Waldmann/Philippe Weissenberger [Hrsg.], Praxis­kommentar VwVG, Zürich/Ba­sel/Genf 2009, Art. 35, N 10, 17).</w:t>
      </w:r>
    </w:p>
    <w:p>
      <w:r>
        <w:rPr>
          <w:b/>
        </w:rPr>
        <w:t>E. 4.4</w:t>
      </w:r>
    </w:p>
    <w:p>
      <w:r>
        <w:t>Der angefochtene Entscheid des BFM wird den genannten Kriterien nicht in der erforderlichen Weise gerecht. Offensichtlich ist eine Verlet­zung der Begründungspflicht, welche gestützt auf eine mangelhafte Sachverhaltsfeststellung erfolgte. Der Beschwerdeführer hat im Verlaufe des Asylverfahrens immer wieder und im Wesentlichen übereinstimmend geltend gemacht, er sei in Sri Lanka gefährdet, weil er als Zeuge in einem Strafprozessverfahren ausgesagt, dabei zwei Täter identifiziert und sich auch die Feindschaft des dritten, wegen seiner Machtfülle nicht inhaftier­ten Mittäters zugezogen habe (A 10/12 S. 2 und 5 f.; A 17/16 Antworten 45, 92 und 97). Das BFM hielt seine Zeugenaussagen und die damit verbun­dene Gefährdung aber insbesondere mit dem Argument, er werde in den Gerichtsakten als Tatverdächtiger und nicht als Hauptzeuge bezeich­net, für unglaubhaft. Dabei stützt sich die Vorinstanz auf eine amts­interne Übersetzung eines eingereichten Gerichtsdokuments (vgl. A 21/1). Dem Beschwerdeführer ist es aber im Rekursverfahren gelungen, die Falschheit der Übersetzung nachzuweisen. So räumt das BFM in der zweiten Vernehmlassung vom 9. Februar 2010 nach einer Überprüfung der Übersetzung ein, es stehe fest, dass der Beschwerdeführer im Gerichts­verfahren als Zeuge und nicht als Tatverdächtiger aufgetreten sei. Damit wird das offensichtlich zentrale Argument des BFM, die zu Proto­koll gegebenen Asylgründe stünden "im krassen Widerspruch zum In­halt der Beweismittel", hinfällig. Im Weiteren mag zutreffen, dass ge­wisse Aussagen des Beschwerdeführers nur bedingt Substanz aufweisen und von ihm auch bei allenfalls nicht perfekten Kenntnissen des Singhalesi­schen etwas genauere Angaben zu den ihn betreffenden Ge­richtsunterlagen hätten erwartet werden können. Diese Argumente, auf wel­che sich das BFM auch in den Vernehmlassungen fokussiert, erschei­nen aber kaum als schlüssig für die von der Vorinstanz geltend gemachte Unglaubhaftigkeit der Gefährdung. Es ist nämlich offensichtlich, dass der Be­schwerdeführer bei der ergänzenden Anhörung, wo er mit der erwähn­ten falschen Übersetzung konfrontiert wurde, befragungsmässig in unzuläs­siger Weise in einen akuten Erklärungsnotstand gedrängt wurde, wo­rauf er plötzlich angab, schliesslich auch als Beschuldigter im Gerichts­verfahren involviert gewesen zu sein (A 17/16 Antworten 61 ff.). Das Zusatzargument des BFM, er habe den Umstand, wonach er als Be­schuldigter in den Akten erwähnt werde, erst auf (einen gemäss vorstehen­den Erwägungen sachlich falschen) Vorhalt bei der ergänzen­den Anhörung eingeräumt beziehungsweise nachgeschoben, ist somit ebenfalls offensichtlich untauglich für die Begründung der Unglaubhaftig­keit der Gefährdung. Generell ist mithin fraglich, ob zentrale Aussagen im besagten Protokoll für die Verneinung der Glaubhaftigkeit der Vorbringen überhaupt herangezogen werden durften. Dabei kann auch auf die substanziierten Darlegungen in der Beschwerdeergänzung vom 18. Dezem­ber 2009 und die Eingabe vom 28. Januar 2010, welche sich auf die neu eingereichten Beweismittel (Übersetzungen) stützen, verwiesen wer­den. Entsprechend müssen sowohl die Sachverhaltsabklärung wie auch die Entscheidbegründung als offensichtlich mangelhaft bezeichnet wer­den. Das BFM hat im angefochtenen Entscheid ausserdem auf eine ein­gehende Würdigung der bereits damals beigebrachten Beweismittel in Anbetracht der "dargelegten Unglaubhaftigkeit der Vorbringen" verzichtet, die angebliche Unglaubhaftigkeit aber nach dem Gesagten mit unzutreffen­den Hauptargumenten begründet.</w:t>
      </w:r>
    </w:p>
    <w:p>
      <w:r>
        <w:rPr>
          <w:b/>
        </w:rPr>
        <w:t>E. 4.5</w:t>
      </w:r>
    </w:p>
    <w:p>
      <w:r>
        <w:t>Zusammenfassend ergibt sich, dass der angefochtene Entscheid un­ter Missachtung wesentlicher Gehörsansprüche des Beschwerdeführers zu­stande gekommen ist.</w:t>
      </w:r>
    </w:p>
    <w:p>
      <w:r>
        <w:rPr>
          <w:b/>
        </w:rPr>
        <w:t>E. 5.1</w:t>
      </w:r>
    </w:p>
    <w:p>
      <w:r>
        <w:t>Eine Verletzung des rechtlichen Gehörs führt grundsätzlich - das heisst ungeachtet der materiellen Auswirkungen - zur Aufhebung des da­r­aufhin ergangenen Entscheides. Die Heilung einer Gehörsverletzung aus pro­zessökonomischen Gründen auf Beschwerdeebene ist jedoch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 mit weiteren Hinweisen).</w:t>
      </w:r>
    </w:p>
    <w:p>
      <w:r>
        <w:rPr>
          <w:b/>
        </w:rPr>
        <w:t>E. 5.2</w:t>
      </w:r>
    </w:p>
    <w:p>
      <w:r>
        <w:t>Vorliegend erscheint eine Heilung als ausgeschlossen. Die Verletzun­gen sowohl der Begründungspflicht wie auch der Untersuchungsmaxime wiegen schwer. Zudem ist eine substanziierte Auseinandersetzung des BFM mit zentralen Beschwerdevorbringen beziehungsweise der Rele­vanz der alten wie neuen Beweismittel für die geltend gemachte Gefähr­dung des Beschwerdeführers im Vernehmlassungsverfahren nur allenfalls ansatzweise erfolgt. Die angefochtene Verfügung ist deshalb aufzuheben und die Sache im Sinne der Erwägungen an die Vorinstanz zurückzuwei­sen. Das BFM ist gehalten, allfällige Abklärungen vorzunehmen und ge­stützt auf den richtigen rechtserheblichen Sachverhalt einen neuen Ent­scheid zu fällen.</w:t>
      </w:r>
    </w:p>
    <w:p>
      <w:r>
        <w:rPr>
          <w:b/>
        </w:rPr>
        <w:t>E. 6.1</w:t>
      </w:r>
    </w:p>
    <w:p>
      <w:r>
        <w:t>Bei diesem Ausgang des Verfahrens sind keine Kosten aufzuerle­gen (vgl. Art. 63 Abs. 1 und 2 VwVG).</w:t>
      </w:r>
    </w:p>
    <w:p>
      <w:r>
        <w:rPr>
          <w:b/>
        </w:rPr>
        <w:t>E. 6.2</w:t>
      </w:r>
    </w:p>
    <w:p>
      <w:r>
        <w:t>Dem Beschwerdeführer ist angesichts des Obsiegens im Be­schwerdeverfahren in Anwendung von Art. 64 Abs. 1 VwVG eine Par­teient­schädigung für ihm erwachsene notwendige Vertretungskosten zuzu­sprechen (Art. 7 Abs. 1 des Reglements vom 21. Februar 2008 über die Kosten und Ent­schädigungen vor dem Bundes­verwaltungsgericht [VGKE, SR 173.320.2]). In der eingereichten Kostennote vom 28. Januar 2010 und der Eingabe vom 1. März 2010 macht der Rechtsvertreter unter Hinweis auf seine Mehr­wertsteuerpflicht insgesamt einen Arbeitsaufwand von 33.75 Stunden (à Fr. 230.--) und Auslagen von Fr. 200.70 geltend, was zu einer Parteientschädigung von Fr. 8'558.50 führen würde. Zwar trifft es zu, dass durch die falsche Sachverhaltsermittlung des BFM von einem relativ hohen zeitlichen Aufwand auszugehen ist. Der zeitliche Aufwand des in Asylfragen versierten Vertreters für die Eingaben vom 20. November 2009, 18. Dezember 2009, 28. Januar 2010 sowie 1. März 2010 in der Höhe von insgesamt 26 Stunden und 30 Minuten erscheint aber als zu hoch; überdies finden sich in den Eingaben sachlich nicht notwendige Wiederholungen. Die geforderte Parteientschädigung in der Höhe von Fr. 8'558.50 ist deshalb angemessen zu kürzen und auf insgesamt Fr. 5'000.- festzusetzen (vgl. Art.10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