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D-7284/2016 vom 14. Dezember 2016</w:t>
      </w:r>
    </w:p>
    <w:p>
      <w:r>
        <w:t>Bundesverwaltungsgericht, 2016-12-14, DE</w:t>
      </w:r>
    </w:p>
    <w:p>
      <w:r>
        <w:rPr>
          <w:b/>
        </w:rPr>
        <w:t xml:space="preserve">Quelle: </w:t>
      </w:r>
      <w:r>
        <w:t>https://mcp.opencaselaw.ch/entscheid/bvger_D-7284_2016</w:t>
      </w:r>
    </w:p>
    <w:p>
      <w:r>
        <w:t>FR: TAF D-7284/2016 du 14 décembre 2016</w:t>
      </w:r>
    </w:p>
    <w:p>
      <w:r>
        <w:t>IT: TAF D-7284/2016 del 14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Das Bundesverwaltungsgericht überprüft die angefochtene Verfügung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ihren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Verfolgung ist asylbeachtlich, wenn sie vom Staat ausgeht; nichtstaatliche Verfolgung ist dagegen nur dann asylbeachtlich, wenn der Staat zur Verfolgung anregt oder sich in anderer Weise zurechnen lassen muss oder er nicht in der Lage ist, vor Verfolgung ausreichend Schutz zu bieten (vgl. BVGE 2011/51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die Vorbringen der Beschwerdeführerin für nicht asylrelevant. Die von ihr geltend gemachte Vergewaltigung stelle einen Übergriff durch Dritte dar, welcher vom kamerunischen Staat weder gestützt noch gebilligt werde. Solche Ereignisse würden von den kamerunischen Strafverfolgungsbehörden im Rahmen ihrer Möglichkeiten verfolgt und geahndet. So sei es betroffenen Personen möglich und zumutbar, mit rechtlichen Mitteln und gegebenenfalls mit Hilfe eines Anwalts gegen einen solchen Übergriff vorzugehen. Es lägen keine Indizien vor, dass der kamerunische Staat seiner Schutzpflicht nicht nachgekommen sei. Im Einzelfall könne es zwar vorkommen, dass die Schutzgewährung unterbleibe oder nicht in ausreichendem Masse gewährt werde. Allerdings könne eine faktische Garantie des Schutzgewährers für langfristigen individuellen Schutz der bedrohten Person nicht verlangt werden. Keinem Staat gelinge es, die absolute Sicherheit aller seiner Bürger jederzeit und überall zu garantieren. Einen umfassenden Schutz würden nur einige wenige besonders gefährdete Personen erhalten, zu denen die Beschwerdeführerin jedoch aufgrund ihres Profils nicht zähle.</w:t>
      </w:r>
    </w:p>
    <w:p>
      <w:r>
        <w:rPr>
          <w:b/>
        </w:rPr>
        <w:t>E. 6</w:t>
      </w:r>
    </w:p>
    <w:p>
      <w:r>
        <w:t>Der Vorinstanz ist vollumfänglich beizupflichten, dass die von der Beschwerdeführerin vorgebrachte Vergewaltigung keine asylbeachtliche Verfolgung darstellt, zumal es sich dabei um nichtstaatliche Verfolgung handelt und von der Schutzbereitschaft als auch der Schutzfähigkeit des kamerunischen Staates auszugehen ist. Die Beschwerdeführerin räumte denn selber ein, aufgrund des angeblichen Aufwandes auf die Möglichkeit einer Strafanzeige, mithin freiwillig auf die Inanspruchnahme dieses Schutzes verzichtet zu haben, womit sie weder fehlenden Schutzwillen noch fehlende Schutzfähigkeit ihres Heimatstaates geltend machen und sich folglich nicht auf den subsidiären flüchtlingsrechtlichen Schutz durch die Schweiz berufen kann. Überdies ist nicht von einer gezielten Verfolgung der Beschwerdeführerin auszugehen, vielmehr handelte es sich nach ihrer Darstellung um ein zufälliges Zusammentreffen mit ihren Vergewaltigern. Weiter hat die Beschwerdeführerin anlässlich der Anhörung selbst dargelegt, dass sie den Entschluss zu ihrer Ausreise aus Kamerun bereits vor der geltend gemachten Vergewaltigung gefasst hatte, womit dieses Ereignis nicht ausschlaggebend für das Verlassen ihres Heimatstaates gewesen sein konnte. Schliesslich vermögen auch die anderen geltend gemachten Gründe für ihre Ausreise aus Kamerun die Flüchtlingseigenschaft nicht zu begründen. Dass die Beschwerdeführerin ihre Schwester als enge Bezugsperson verloren hat, stellt keine Verfolgung der Beschwerdeführerin dar, sondern ist ein persönlicher Schicksalsschlag. Demnach hat die Vorinstanz die Flüchtlingseigenschaft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 der Schweiz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AuG).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Anhaltspunkte dafür, dass sie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Kamerun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Heimatstaat der Beschwerdeführerin noch individuelle Gründe lassen den Wegweisungsvollzug als unzumutbar erscheinen. Als junge und gesunde Frau (vgl. Bericht Spital Tiefenau, SEM-Akte A2) mit Berufserfahrung als Coiffeuse und einem tragfähigen familiären Beziehungsnetz vor Ort (Tante in Yaoundé, bei der sie bereits vor der Ausreise in die Schweiz gewohnt hat sowie ihre in Kamerun lebenden Cousins) erfüllt die Beschwerdeführerin die Voraussetzungen für einen zumutbaren Wegweisungsvollzug. Daran vermögen auch ihre geltend gemachten psychischen Beschwerden nichts zu ändern. Wie die Vorinstanz zutreffend ausgeführt hat, kann sich die Beschwerdeführerin, falls sie entsprechende Hilfe in Anspruch nehmen möchte, an Nichtregierungsorganisationen in Kamerun wenden, welche sich spezifisch um die Anliegen von Frauen kümmern. Für gesundheitliche Vollzugshindernisse bestehen keinerlei Anhaltspunkte, zumal die Beschwerdeführerin keinen medizinischen Behandlungsbedarf ausge-wiesen hat.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für die Organisation der Ausreise zuständige Behörde kann zwecks Beschaffung der für den Vollzug der Wegweisungsverfügung notwendigen Reisepapiere mit dem Heimat- oder Herkunftsstaat Kontakt aufnehmen, wenn in erster Instanz das Vorliegen der Flüchtlingseigenschaft verneint wurde (Art. 97 Abs. 2 AsylG). Aufgrund der Akten deutet nichts auf eine konkrete Gefährdung der Beschwerdeführerin durch eine allfällige Bekanntgabe der in Art. 97 Abs. 3 Bstn. a-g AsylG erwähnten Personendaten gegenüber der zuständigen ausländischen Behörde hin. Das Gesuch, die Vollzugsbehörden seien anzuweisen, die Kontaktaufnahme mit dem Heimatstaat sowie jede Weitergabe von Daten an denselben zu unterlassen, ist folglich abzuweisen.</w:t>
      </w:r>
    </w:p>
    <w:p>
      <w:r>
        <w:rPr>
          <w:b/>
        </w:rPr>
        <w:t>E. 10.2</w:t>
      </w:r>
    </w:p>
    <w:p>
      <w:r>
        <w:t>Den dem Gericht zur Verfügung stehenden Akten sind keine Hinweise auf eine erfolgte Kontaktaufnahme mit dem Heimatstaat zu entnehmen, wobei sich die Beschwerdeführerin bei weiterem Klärungsbedarf an die zuständige kantonale Behörde und das SEM zu wenden hat.</w:t>
      </w:r>
    </w:p>
    <w:p>
      <w:r>
        <w:rPr>
          <w:b/>
        </w:rPr>
        <w:t>E. 11</w:t>
      </w:r>
    </w:p>
    <w:p>
      <w:r>
        <w:t>Mit dem vorliegenden Entscheid ist das Gesuch um Wiedererteilung der aufschiebenden Wirkung hinfällig geworden. Angesichts der aufschiebenden Wirkung der Beschwerde von Gesetzes wegen und des Umstandes, dass die Vorinstanz die aufschiebende Wirkung nicht entzogen hatte, ist auf das Gesuch allerdings mangels Rechtschutz-interessens nicht einzutreten.</w:t>
      </w:r>
    </w:p>
    <w:p>
      <w:r>
        <w:rPr>
          <w:b/>
        </w:rPr>
        <w:t>E. 12</w:t>
      </w:r>
    </w:p>
    <w:p>
      <w:r>
        <w:t>Die gestellten Begehren haben sich als aussichtslos erwiesen, weshalb das Gesuch um unentgeltliche Rechtspflege in Anwendung von Art. 65 Abs. 1 VwVG abzuweisen ist. Das Gesuch um Kostenvorschussverzicht ist mit dem vorliegenden Urteil gegenstandslos geworden.</w:t>
      </w:r>
    </w:p>
    <w:p>
      <w:r>
        <w:rPr>
          <w:b/>
        </w:rPr>
        <w:t>E. 13</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