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D-7282/2023 vom 28. November 2023</w:t>
      </w:r>
    </w:p>
    <w:p>
      <w:r>
        <w:t>Bundesverwaltungsgericht, 2023-11-28, DE</w:t>
      </w:r>
    </w:p>
    <w:p>
      <w:r>
        <w:rPr>
          <w:b/>
        </w:rPr>
        <w:t xml:space="preserve">Quelle: </w:t>
      </w:r>
      <w:r>
        <w:t>https://mcp.opencaselaw.ch/entscheid/bvger_D-7282_2023_d20231128</w:t>
      </w:r>
    </w:p>
    <w:p>
      <w:r>
        <w:t>FR: TAF D-7282/2023 du 28 novembre 2023</w:t>
      </w:r>
    </w:p>
    <w:p>
      <w:r>
        <w:t>IT: TAF D-7282/2023 del 28 novembre 2023</w:t>
      </w:r>
    </w:p>
    <w:p>
      <w:pPr>
        <w:pStyle w:val="Heading2"/>
      </w:pPr>
      <w:r>
        <w:t>Regeste</w:t>
      </w:r>
    </w:p>
    <w:p>
      <w:r>
        <w:t>Asyl und Wegweisung (beschleunigtes Verfahren) | Asyl und Wegweisung (beschleunigtes Verfahren); Verfügung des SEM vom 28. November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t>D-7282/2023 Seite 6</w:t>
      </w:r>
    </w:p>
    <w:p>
      <w:r>
        <w:rPr>
          <w:b/>
        </w:rPr>
        <w:t>E. 1.3</w:t>
      </w:r>
    </w:p>
    <w:p>
      <w:r>
        <w:t>Die Beschwerde ist grundsätzlich frist- und formgerecht eingereicht worden (vgl. jedoch unten E. 1.4). Die Beschwerdeführenden haben am Verfahren vor der Vorinstanz teilgenommen, sind durch die angefochtene Verfügung besonders berührt und haben ein schutzwürdiges Interesse an deren Aufhebung beziehungsweise Änderung. Sie sind daher zur Einrei- chung der Beschwerde legitimiert (Art. 105 und Art. 108 Abs. 1 i.V.m. Art. 10 Covid-19-Verordnung Asyl [SR 142.318, aufgehoben per 15. De- zember 2023] und Übergangsbestimmung der Aufhebungsverordnung vom 22. November 2023 [AS 2023 694] e contrario]; Art. 48 Abs. 1 sowie Art. 52 Abs. 1 VwVG). Auf die Beschwerde ist nach der fristgerechten Be- zahlung des Kostenvorschusses – unter Vorbehalt der nachfolgenden Er- wägung – einzutreten.</w:t>
      </w:r>
    </w:p>
    <w:p>
      <w:r>
        <w:rPr>
          <w:b/>
        </w:rPr>
        <w:t>E. 1.4</w:t>
      </w:r>
    </w:p>
    <w:p>
      <w:r>
        <w:t>Die Beschwerdeschrift vom 28. Dezember 2023 bezieht sich auf die ganze Familie, wurde jedoch einzig durch den Beschwerdeführer 1 unter- zeichnet. Die mit Zwischenverfügung vom 9. Januar 2024 eingeräumte Frist zur Unterzeichnung der Beschwerde durch die Beschwerdeführerin 2 liessen die Beschwerdeführenden ungenutzt verstreichen. Mithin ist auf die Beschwerde – soweit die Beschwerdeführerin 2 betreffend – androhungs- gemäss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D-7282/2023 Seite 7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Das SEM kam in der angefochtenen Verfügung zum Schluss, die Vorbrin- gen der Beschwerdeführenden hielten weder den Anforderungen an die Flüchtlingseigenschaft gemäss Art. 3 AsylG noch denjenigen an das Glaubhaftmachen gemäss Art. 7 AsylG stand. Die persönliche Glaubwürdigkeit der Beschwerdeführenden sei nicht al- leine aufgrund der Tatsache eingeschränkt, dass sie sich beim Eintritt ins BAZ als syrische Familie hätten registrieren lassen, sondern insbesondere auch, weil sie diese Angaben während der PA aufrechterhalten und sich sogar für 3’000 Euro gefälschte Maktumin-Bestätigungen beschafft hätten. Soweit sie angegeben hätten, dass sie dies nur getan hätten, weil sie sich sogar in der Schweiz vor einer Verfolgung durch Drittpersonen gefürchtet hätten, überzeugten ihre Erklärungen nicht. Da sie sich bereits für das Asyl- verfahren gefälschte Herkunftsbestätigungen beschafft hätten, sei auch die Authentizität der von ihnen eingereichten Beweismittel in Frage zu stellen. Auch dem eingereichten Aussageprotokoll, das eine Anzeige bei der Poli- zei gegen N._______ wegen Drohschreiben belegen solle, könne kein starker Beweiswert zugesprochen werden. Insbesondere handle es sich dabei um ein Schreiben, welches leicht gefälscht oder verfälscht werden könne, da es keinerlei Sicherheitsmerkmale aufweise. Die in Aussicht ge- stellten, an die Beschwerdeführenden adressierten Drohschreiben hätten sie ebenso wenig eingereicht wie allfällige Fotografien der beschossenen Wohnung. Während der Beschwerdeführer 1 angegeben habe, das Wohn- haus sei zwei Wochen vor der Ausreise beschossen worden, habe die Be- schwerdeführerin 2 den Zeitraum auf drei Wochen vor der Ausreise ge- schätzt. Es wäre zu erwarten, dass ihnen der Zeitpunkt des Angriffs auf ihr Haus besser in Erinnerung geblieben wäre. Auch seien ihre Angaben zu</w:t>
      </w:r>
    </w:p>
    <w:p>
      <w:r>
        <w:t>D-7282/2023 Seite 8 ihrem Verhalten nach dem Angriff auf ihr Haus kurz vor der Ausreise inkon- sistent ausgefallen. Es könnte sein, dass die Schwägerin P._______ des Beschwerdeführers 1 vor mehreren Jahren in die Geschehnisse rund um die Vergewaltigungsvorwürfe gegen N._______ involviert gewesen sei. Dass die Kernfamilie im Jahr 2023 kurz vor ihrer Ausreise durch N._______ oder dessen Umfeld behelligt worden sei, sei jedoch für das SEM nicht glaubhaft. Auch bezüglich der geltend gemachten Verfolgung durch die Fa- milie des verletzten Jugendlichen seien starke Zweifel anzubringen. Selbst bei Wahrunterstellung vermöchten die Vorbringen keine flüchtlings- rechtliche Relevanz zu entfalten: Die dargelegten Bedrohungen – sowohl durch N._______ als auch durch die Familienangehörigen des von C._______ verletzen Jugendlichen – stellten gemeinrechtliche Übergriffe und Behelligungen durch private Drittpersonen aufgrund von zwischen- menschlichen Problemen respektive von gemeinrechtlich als kriminell zu taxierenden Interessen dar. Sie würden vom türkischen Staat weder unter- stützt noch gebilligt und könnten diesem folglich nicht zugerechnet werden. Gemäss öffentlich verfügbaren Informationen sei N._______ zwar nach ei- ner ersten kurzen Inhaftierung temporär entlassen worden. Aufgrund der Ergebnisse eines forensischen Berichts zu einer DNA-Spurenanalyse vom (…) 2020 sei er unter dem Vorwurf des «qualifizierten sexuellen Miss- brauchs eines Kindes» jedoch kurze Zeit später erneut festgenommen und in das Gefängnis von Q._______ gebracht worden. Dies zeige exempla- risch, dass die türkische Polizei und die türkischen Justizbehörden ihrer Schutzpflicht nachkommen würden. Der türkischen Polizei könne deshalb kein fehlender Schutzwille und keine Tatenlosigkeit vorgeworfen werden. Insgesamt sei von der Schutzwilligkeit und Schutzfähigkeit der türkischen Behörden bei gemeinrechtlichen Delikten auszugehen. Im Übrigen be- stehe nirgends – auch in der Schweiz nicht – eine absolute Sicherheit vor Übergriffen durch Drittpersonen. Schliesslich würden sich die geltend ge- machten Nachteile durch Drittpersonen aus lokal oder regional beschränk- ten Verfolgungsmassnahmen ableiten. Da sie sich diesen durch einen Wegzug in einen anderen Landesteil entziehen könnten, seien sie auch aus diesem Grund nicht auf den Schutz der Schweiz angewiesen. Daran vermöchten ihre pauschalen Einwände nichts zu ändern, dass man in der Türkei so ein Problem nicht lösen könne und die gegnerischen Personen viel Einfluss hätten oder dass man sie überall in der Türkei aufspüren könnte. Allfällige Straftatbestände der Bedrohung durch Angehörige des von C._______ verletzen Jugendlichen stellten letztendlich auch keine</w:t>
      </w:r>
    </w:p>
    <w:p>
      <w:r>
        <w:t>D-7282/2023 Seite 9 Nachteile dar, die aus einem der von Art. 3 AsylG geschützten Gründe er- folgen würden. Auch bei den Drohungen von N._______ und dem Angriff auf die Wohnung sei kein Motiv gemäss Art. 3 AsylG ersichtlich. Die Rechtsvertretung habe dem Vorgebrachten nichts hinzugefügt. Sie habe in ihrer Stellungnahme nur die Angaben auf die in den Anhörungen gemachten Vorhalte wiederholt. Zu diesen habe sich das SEM bereits im Entscheidentwurf einlässlich geäussert.</w:t>
      </w:r>
    </w:p>
    <w:p>
      <w:r>
        <w:rPr>
          <w:b/>
        </w:rPr>
        <w:t>E. 6.1</w:t>
      </w:r>
    </w:p>
    <w:p>
      <w:r>
        <w:t>Das Bundesverwaltungsgericht gelangt nach Prüfung der Akten zum Schluss, dass die Vorinstanz die Asylgesuche der Beschwerdeführenden zu Recht abgelehnt hat. Die Entgegnungen in der Beschwerde vermögen zu keiner anderen Betrachtungsweise zu führen. Zur Vermeidung von Wie- derholungen kann vorab auf die entsprechenden Erwägungen im ange- fochtenen Asylentscheid verwiesen werden (vgl. auch vorstehend E. 5).</w:t>
      </w:r>
    </w:p>
    <w:p>
      <w:r>
        <w:rPr>
          <w:b/>
        </w:rPr>
        <w:t>E. 6.2</w:t>
      </w:r>
    </w:p>
    <w:p>
      <w:r>
        <w:t>Die Beschwerdeschrift beschränkt sich im Wesentlichen auf eine sinn- gemässe Wiederholung der bisherigen Vorbringen und Ausführungen in der Stellungnahme der Rechtsvertretung. Zudem habe der Beschwerde- führer 1 gesundheitliche Probleme ([…], […], […], […] und einen […]). Die Entwicklung von E._______ sei unterbrochen und C._______ habe psychi- sche Probleme. Sie könnten nicht in die Türkei zurückkehren, da ihre Si- cherheit dort nicht gewährleistet sei.</w:t>
      </w:r>
    </w:p>
    <w:p>
      <w:r>
        <w:rPr>
          <w:b/>
        </w:rPr>
        <w:t>E. 6.3</w:t>
      </w:r>
    </w:p>
    <w:p>
      <w:r>
        <w:t>In der Beschwerde wird insbesondere nicht konkret dargelegt, weshalb die Beschwerdeführenden bei einer Rückkehr in ihren Heimatstaat Nach- teile aus einem der von Art. 3 AsylG geschützten Gründe zu befürchten hätten.</w:t>
      </w:r>
    </w:p>
    <w:p>
      <w:r>
        <w:rPr>
          <w:b/>
        </w:rPr>
        <w:t>E. 6.4</w:t>
      </w:r>
    </w:p>
    <w:p>
      <w:r>
        <w:t>Die Beschwerdeführenden liessen die ihnen mit Zwischenverfügung vom 9. Januar 2024 angesetzte Frist zur Bekanntgabe des wesentlichen Inhalts des als Beilage ihrer Beschwerde eingereichten fremdsprachigen Beweismittels ungenutzt verstreichen (vgl. Sachverhalt Bst. E.). Dem Do- kument ist in keiner Weise ein Bezug zu den Beschwerdeführenden zu ent- nehmen. Nachdem sie auch der Aufforderung, sich zu dessen Relevanz für ihr Asylverfahren zu äussern, nicht nachgekommen sind, vermögen sie da- raus nichts zu ihren Gunsten abzuleiten.</w:t>
      </w:r>
    </w:p>
    <w:p>
      <w:r>
        <w:rPr>
          <w:b/>
        </w:rPr>
        <w:t>E. 6.5</w:t>
      </w:r>
    </w:p>
    <w:p>
      <w:r>
        <w:t>Zusammenfassend ergibt sich, dass es den Beschwerdeführenden nicht gelungen ist, eine zum Zeitpunkt ihrer Ausreise aus der Türkei beste- hende oder unmittelbar drohende asylrechtlich relevante Verfolgung nach-</w:t>
      </w:r>
    </w:p>
    <w:p>
      <w:r>
        <w:t>D-7282/2023 Seite 10 zuweisen oder zumindest glaubhaft zu machen. Nachdem eine Vorverfol- gung verneint werden muss, liegen auch keine hinreichend konkreten An- haltspunkte für eine für die Flüchtlingseigenschaft relevante Verfolgung vor, welche ihnen heute bei einer Rückkehr in den Heimatstaat mit beacht- licher Wahrscheinlichkeit und in absehbarer Zukunft drohen würde. Die Vorinstanz hat die Flüchtlingseigenschaft mangels Glaubhaftigkeit und Re- levanz der Asylvorbringen zu Recht verneint. Die Beschwerdeführenden sind nicht schutzbedürftig im Sinne von Art. 3 AsylG, weshalb das SEM die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2029 E. 8.4.5.1). Somit ist davon auszugehen, dass in der Türkei bei Bedarf eine Behandlung möglich wäre.</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 es den Beschwerdeführernden nicht gelungen ist, eine asylrechtlich erhebliche Gefährdung nachzuweisen oder glaubhaft zu machen, kann der in Art. 5 AsylG verankerte Grundsatz der Nichtrückschiebung im vorliegen- den Verfahren – wie bereits von der Vorinstanz zutreffend festgestellt – keine Anwendung finden. Eine Rückkehr in den Heimatstaat ist demnach unter dem Aspekt von Art. 5 AsylG rechtmässig. Sodann ergeben sich weder aus den Aussagen der Beschwerdeführenden noch aus den Akten Anhaltspunkte dafür, dass sie für den Fall einer</w:t>
      </w:r>
    </w:p>
    <w:p>
      <w:r>
        <w:t>D-7282/2023 Seite 11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ist vorliegend nicht der Fall.</w:t>
      </w:r>
    </w:p>
    <w:p>
      <w:r>
        <w:rPr>
          <w:b/>
        </w:rPr>
        <w:t>E. 8.2.1</w:t>
      </w:r>
    </w:p>
    <w:p>
      <w:r>
        <w:t>Nach dem Gesagten ist der Vollzug der Wegweisung sowohl im Sinne der asyl- als auch der völkerrechtlichen Bestimmungen zulässig.</w:t>
      </w:r>
    </w:p>
    <w:p>
      <w:r>
        <w:rPr>
          <w:b/>
        </w:rPr>
        <w:t>E. 8.3.1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8.3.2</w:t>
      </w:r>
    </w:p>
    <w:p>
      <w:r>
        <w:t>Gemäss konstanter Praxis ist in der Türkei nicht von einer Situation allgemeiner Gewalt oder bürgerkriegsähnlichen Verhältnissen auszuge- hen, dies auch nicht für Angehörige der kurdischen Ethnie (vgl. statt vieler Urteile des BVGer D-5940/2023 vom 16. November 2023 E. 8.4.1; E-5546/2023 vom 19. Oktober 2023 E. 9.3.2).</w:t>
      </w:r>
    </w:p>
    <w:p>
      <w:r>
        <w:rPr>
          <w:b/>
        </w:rPr>
        <w:t>E. 8.3.3</w:t>
      </w:r>
    </w:p>
    <w:p>
      <w:r>
        <w:t>Am 6. Februar 2023 forderten schwere Erdbeben im Südosten der Türkei tausende Todesopfer und zerstörten grosse Teile der Infrastruktur. Der türkische Präsident verhängte daraufhin bis zum 9. Mai 2023 den Aus- nahmezustand über die elf betroffenen Provinzen (Kahramanmaras, Hatay, Gaziantep, Osmaniye, Malatya, Adiyaman, Adana, Diyarbakir, Kilis, Sanli- urfa und Elazig).</w:t>
      </w:r>
    </w:p>
    <w:p>
      <w:r>
        <w:rPr>
          <w:b/>
        </w:rPr>
        <w:t>E. 8.3.4</w:t>
      </w:r>
    </w:p>
    <w:p>
      <w:r>
        <w:t>Die Beschwerdeführenden stammen aus der vom Erdbeben betroffe- nen Provinz J._______. Die Vorinstanz nahm diesbezüglich praxisgemäss eine Einzelfall Prüfung vor. Sie brachten im Rahmen ihrer Anhörungen nicht vor, sie seien durch die Erdbeben zu Schaden gekommen. Insofern kann von der Zumutbarkeit der Rückkehr in ihre Heimatprovinz ausgegan- gen werden. Das SEM führte in der angefochtenen Verfügung weiter zu- treffend aus, beim Beschwerdeführer 1 handle es sich um einen (…) Jahre</w:t>
      </w:r>
    </w:p>
    <w:p>
      <w:r>
        <w:t>D-7282/2023 Seite 12 alten, gesunden Mann. Vor der Ausreise habe er jahrzehntelang erfolgreich im (…) gearbeitet und sich dabei als Selbständigerwerbender etabliert. Zu- dem besitze er Arbeitserfahrung im (…)bereich. Die Beschwerdeführerin 2 sei teilweise erwerbstätig gewesen, um die Familie zu finanzieren. Drei ih- rer vier Kinder – E._______, F._______ und D._______ – hätten vor der Ausreise die Grundschule besucht und könnten diese nach einer Rückkehr fortführen. C._______ habe die Grundschule abgeschlossen. Bei ihm handle es sich um einen arbeitsfähigen jungen Mann, welcher bereits erste Arbeitserfahrung in (…) habe sammeln können. Zudem besitze er in (…) und mit (…) über ein zweites finanzielles Standbein. Gemäss seinen eige- nen Angaben habe er sich bereits vor der Ausreise sein Leben selbständig finanziert. Vor der Ausreise habe die Familie mietfrei in der Wohnung der Mutter des Beschwerdeführers 1 leben können. Dessen Bruder R._______ lebe immer noch in einer der mehreren Wohnungen des Hauses, in dem sie vor der Ausreise gelebt hätten. Die Beschwerdeführerin 2 habe in der Türkei insgesamt (…) Geschwister – darunter einen Bruder in K._______ und einen in I._______. Ihre restlichen Geschwister seien ebenfalls in der Stadt J._______ wohnhaft. Somit besässen sie ein grosses familiäres Um- feld, welches sie nach ihrer Rückkehr in finanzieller und sozialer Hinsicht bei einer Reintegration unterstützen könne. Zudem stünde es ihnen frei, von finanzieller Rückkehrhilfe Gebrauch zu machen.</w:t>
      </w:r>
    </w:p>
    <w:p>
      <w:r>
        <w:rPr>
          <w:b/>
        </w:rPr>
        <w:t>E. 8.3.5</w:t>
      </w:r>
    </w:p>
    <w:p>
      <w:r>
        <w:t>Zu dem vorgebrachten gesundheitlichen Problem von E._______ hielt die Vorinstanz fest, dass die (…)probleme respektive (…) Störung be- reits in ihrer Heimatstadt diagnostiziert und medikamentös behandelt wor- den seien. Die Behandlungskosten habe der türkische Staat übernommen. Darin könne kein Vollzugshindernis erblickt werden. Ebenso wenig lasse sich aus dem Schreiben des (…) vom 13. Dezember 2023 etwas zuguns- ten von E._______ ableiten. Darin wird ausgeführt, das (…) sei ab dem Kleinkindesalter ständig überwacht und vor einem Jahr aufgrund einer (…)suchung die Diagnose (…)mangel gemacht worden. Seither habe die Patientin eine (…)behandlung bekommen, die vor fünf Monaten (Anmer- kung des Gerichts: Zeitpunkt der Ausreise aus der Türkei) eingestellt wor- den sei. Die (…) verlaufe im Vergleich zum (…) mit einer Verzögerung von ungefähr (…) Jahren. Mit der Familie sei eine Verlaufskontrolle in drei Mo- naten vereinbart worden. Was die vorgebrachten gesundheitlichen Probleme des Beschwerdefüh- rers 1 und die in der Beschwerde pauschal erwähnten psychischen Prob- leme von C._______ anbelangt, ist den Akten weder zu entnehmen, dass sich diese beiden Beschwerdeführenden zum Zeitpunkt des Erlasses der</w:t>
      </w:r>
    </w:p>
    <w:p>
      <w:r>
        <w:t>D-7282/2023 Seite 13 angefochtenen Verfügung in ärztlicher Behandlung befunden hätten, noch dass sie medikamentös behandelt worden wären. In diesem Zusammen- hang ist festzuhalten, dass das türkische Gesundheitswesen grundsätzlich westeuropäischen Standards entspricht. Demgemäss kann in der Türkei grundsätzlich jede Krankheit behandelt werden und sind praktisch alle Me- dikamente erhältlich. Im Übrigen geht das Bundesverwaltungsgericht grundsätzlich sowohl von einer stationären als auch von einer ambulanten Behandlungsmöglichkeit psychischer Erkrankungen in der Türkei aus. Es existieren landesweit psychiatrische Einrichtungen; ebenso stehen Psy- chopharmaka zur Verfügung (vgl. Urteil des BVGer E-4377/2019 vom</w:t>
      </w:r>
    </w:p>
    <w:p>
      <w:r>
        <w:rPr>
          <w:b/>
        </w:rPr>
        <w:t>E. 8.3.6</w:t>
      </w:r>
    </w:p>
    <w:p>
      <w:r>
        <w:t>Der Vollzug der Wegweisung erweist sich nach dem Gesagten so- wohl in genereller als auch individueller Hinsicht als zumutbar.</w:t>
      </w:r>
    </w:p>
    <w:p>
      <w:r>
        <w:rPr>
          <w:b/>
        </w:rPr>
        <w:t>E. 8.4</w:t>
      </w:r>
    </w:p>
    <w:p>
      <w:r>
        <w:t>Nachdem die Beschwerdeführenden im Besitz gültiger türkischer Iden- titätskarten sind, ist der Vollzug auch als möglich gemäss Art. 83 Abs. 2 AIG zu bezeichnen.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sind die Kosten von Fr. 750.– (Art. 1 – 3 des Reglements vom 21. Februar 2008 über die Kosten und Ent- schädigungen vor dem Bundesverwaltungsgericht [VGKE], SR 173.320.2) den Beschwerdeführenden aufzuerlegen (Art. 63 Abs. 1 VwVG). Der in gleicher Höhe geleistete Kostenvorschuss ist zur Bezahlung der Verfah- renskosten zu verwenden. (Dispositiv nächste Seite)</w:t>
      </w:r>
    </w:p>
    <w:p>
      <w:r>
        <w:t>D-7282/2023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