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D-7282/2023 vom 6. Februar 2024</w:t>
      </w:r>
    </w:p>
    <w:p>
      <w:r>
        <w:t>Bundesverwaltungsgericht, 2024-02-06, DE</w:t>
      </w:r>
    </w:p>
    <w:p>
      <w:r>
        <w:rPr>
          <w:b/>
        </w:rPr>
        <w:t xml:space="preserve">Quelle: </w:t>
      </w:r>
      <w:r>
        <w:t>https://mcp.opencaselaw.ch/entscheid/bvger_D-7282_2023</w:t>
      </w:r>
    </w:p>
    <w:p>
      <w:r>
        <w:t>FR: TAF D-7282/2023 du 6 février 2024</w:t>
      </w:r>
    </w:p>
    <w:p>
      <w:r>
        <w:t>IT: TAF D-7282/2023 del 6 febbraio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t>D-7282/2023 Seite 6</w:t>
      </w:r>
    </w:p>
    <w:p>
      <w:r>
        <w:rPr>
          <w:b/>
        </w:rPr>
        <w:t>E. 1.3</w:t>
      </w:r>
    </w:p>
    <w:p>
      <w:r>
        <w:t>Die Beschwerde ist grundsätzlich frist- und formgerecht eingereicht worden (vgl. jedoch unten E. 1.4).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105 und Art. 108 Abs. 1 i.V.m. Art. 10 Covid-19-Verordnung Asyl [SR 142.318, aufgehoben per 15. De- zember 2023] und Übergangsbestimmung der Aufhebungsverordnung vom 22. November 2023 [AS 2023 694] e contrario]; Art. 48 Abs. 1 sowie Art. 52 Abs. 1 VwVG). Auf die Beschwerde ist nach der fristgerechten Be- zahlung des Kostenvorschusses – unter Vorbehalt der nachfolgenden Er- wägung – einzutreten.</w:t>
      </w:r>
    </w:p>
    <w:p>
      <w:r>
        <w:rPr>
          <w:b/>
        </w:rPr>
        <w:t>E. 1.4</w:t>
      </w:r>
    </w:p>
    <w:p>
      <w:r>
        <w:t>Die Beschwerdeschrift vom 28. Dezember 2023 bezieht sich auf die ganze Familie, wurde jedoch einzig durch den Beschwerdeführer 1 unter- zeichnet. Die mit Zwischenverfügung vom 9. Januar 2024 eingeräumte Frist zur Unterzeichnung der Beschwerde durch die Beschwerdeführerin 2 liessen die Beschwerdeführenden ungenutzt verstreichen. Mithin ist auf die Beschwerde – soweit die Beschwerdeführerin 2 betreffend – androhungs- gemäss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D-7282/2023 Seite 7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Das SEM kam in der angefochtenen Verfügung zum Schluss, die Vorbrin- gen der Beschwerdeführenden hielten weder den Anforderungen an die Flüchtlingseigenschaft gemäss Art. 3 AsylG noch denjenigen an das Glaubhaftmachen gemäss Art. 7 AsylG stand. Die persönliche Glaubwürdigkeit der Beschwerdeführenden sei nicht al- leine aufgrund der Tatsache eingeschränkt, dass sie sich beim Eintritt ins BAZ als syrische Familie hätten registrieren lassen, sondern insbesondere auch, weil sie diese Angaben während der PA aufrechterhalten und sich sogar für 3’000 Euro gefälschte Maktumin-Bestätigungen beschafft hätten. Soweit sie angegeben hätten, dass sie dies nur getan hätten, weil sie sich sogar in der Schweiz vor einer Verfolgung durch Drittpersonen gefürchtet hätten, überzeugten ihre Erklärungen nicht. Da sie sich bereits für das Asyl- verfahren gefälschte Herkunftsbestätigungen beschafft hätten, sei auch die Authentizität der von ihnen eingereichten Beweismittel in Frage zu stellen. Auch dem eingereichten Aussageprotokoll, das eine Anzeige bei der Poli- zei gegen N._______ wegen Drohschreiben belegen solle, könne kein starker Beweiswert zugesprochen werden. Insbesondere handle es sich dabei um ein Schreiben, welches leicht gefälscht oder verfälscht werden könne, da es keinerlei Sicherheitsmerkmale aufweise. Die in Aussicht ge- stellten, an die Beschwerdeführenden adressierten Drohschreiben hätten sie ebenso wenig eingereicht wie allfällige Fotografien der beschossenen Wohnung. Während der Beschwerdeführer 1 angegeben habe, das Wohn- haus sei zwei Wochen vor der Ausreise beschossen worden, habe die Be- schwerdeführerin 2 den Zeitraum auf drei Wochen vor der Ausreise ge- schätzt. Es wäre zu erwarten, dass ihnen der Zeitpunkt des Angriffs auf ihr Haus besser in Erinnerung geblieben wäre. Auch seien ihre Angaben zu</w:t>
      </w:r>
    </w:p>
    <w:p>
      <w:r>
        <w:t>D-7282/2023 Seite 8 ihrem Verhalten nach dem Angriff auf ihr Haus kurz vor der Ausreise inkon- sistent ausgefallen. Es könnte sein, dass die Schwägerin P._______ des Beschwerdeführers 1 vor mehreren Jahren in die Geschehnisse rund um die Vergewaltigungsvorwürfe gegen N._______ involviert gewesen sei. Dass die Kernfamilie im Jahr 2023 kurz vor ihrer Ausreise durch N._______ oder dessen Umfeld behelligt worden sei, sei jedoch für das SEM nicht glaubhaft. Auch bezüglich der geltend gemachten Verfolgung durch die Fa- milie des verletzten Jugendlichen seien starke Zweifel anzubringen. Selbst bei Wahrunterstellung vermöchten die Vorbringen keine flüchtlings- rechtliche Relevanz zu entfalten: Die dargelegten Bedrohungen – sowohl durch N._______ als auch durch die Familienangehörigen des von C._______ verletzen Jugendlichen – stellten gemeinrechtliche Übergriffe und Behelligungen durch private Drittpersonen aufgrund von zwischen- menschlichen Problemen respektive von gemeinrechtlich als kriminell zu taxierenden Interessen dar. Sie würden vom türkischen Staat weder unter- stützt noch gebilligt und könnten diesem folglich nicht zugerechnet werden. Gemäss öffentlich verfügbaren Informationen sei N._______ zwar nach ei- ner ersten kurzen Inhaftierung temporär entlassen worden. Aufgrund der Ergebnisse eines forensischen Berichts zu einer DNA-Spurenanalyse vom (…) 2020 sei er unter dem Vorwurf des «qualifizierten sexuellen Miss- brauchs eines Kindes» jedoch kurze Zeit später erneut festgenommen und in das Gefängnis von Q._______ gebracht worden. Dies zeige exempla- risch, dass die türkische Polizei und die türkischen Justizbehörden ihrer Schutzpflicht nachkommen würden. Der türkischen Polizei könne deshalb kein fehlender Schutzwille und keine Tatenlosigkeit vorgeworfen werden. Insgesamt sei von der Schutzwilligkeit und Schutzfähigkeit der türkischen Behörden bei gemeinrechtlichen Delikten auszugehen. Im Übrigen be- stehe nirgends – auch in der Schweiz nicht – eine absolute Sicherheit vor Übergriffen durch Drittpersonen. Schliesslich würden sich die geltend ge- machten Nachteile durch Drittpersonen aus lokal oder regional beschränk- ten Verfolgungsmassnahmen ableiten. Da sie sich diesen durch einen Wegzug in einen anderen Landesteil entziehen könnten, seien sie auch aus diesem Grund nicht auf den Schutz der Schweiz angewiesen. Daran vermöchten ihre pauschalen Einwände nichts zu ändern, dass man in der Türkei so ein Problem nicht lösen könne und die gegnerischen Personen viel Einfluss hätten oder dass man sie überall in der Türkei aufspüren könnte. Allfällige Straftatbestände der Bedrohung durch Angehörige des von C._______ verletzen Jugendlichen stellten letztendlich auch keine</w:t>
      </w:r>
    </w:p>
    <w:p>
      <w:r>
        <w:t>D-7282/2023 Seite 9 Nachteile dar, die aus einem der von Art. 3 AsylG geschützten Gründe er- folgen würden. Auch bei den Drohungen von N._______ und dem Angriff auf die Wohnung sei kein Motiv gemäss Art. 3 AsylG ersichtlich. Die Rechtsvertretung habe dem Vorgebrachten nichts hinzugefügt. Sie habe in ihrer Stellungnahme nur die Angaben auf die in den Anhörungen gemachten Vorhalte wiederholt. Zu diesen habe sich das SEM bereits im Entscheidentwurf einlässlich geäussert.</w:t>
      </w:r>
    </w:p>
    <w:p>
      <w:r>
        <w:rPr>
          <w:b/>
        </w:rPr>
        <w:t>E. 6.1</w:t>
      </w:r>
    </w:p>
    <w:p>
      <w:r>
        <w:t>Das Bundesverwaltungsgericht gelangt nach Prüfung der Akten zum Schluss, dass die Vorinstanz die Asylgesuche der Beschwerdeführenden zu Recht abgelehnt hat. Die Entgegnungen in der Beschwerde vermögen zu keiner anderen Betrachtungsweise zu führen. Zur Vermeidung von Wie- derholungen kann vorab auf die entsprechenden Erwägungen im ange- fochtenen Asylentscheid verwiesen werden (vgl. auch vorstehend E. 5).</w:t>
      </w:r>
    </w:p>
    <w:p>
      <w:r>
        <w:rPr>
          <w:b/>
        </w:rPr>
        <w:t>E. 6.2</w:t>
      </w:r>
    </w:p>
    <w:p>
      <w:r>
        <w:t>Die Beschwerdeschrift beschränkt sich im Wesentlichen auf eine sinn- gemässe Wiederholung der bisherigen Vorbringen und Ausführungen in der Stellungnahme der Rechtsvertretung. Zudem habe der Beschwerde- führer 1 gesundheitliche Probleme ([…], […], […], […] und einen […]). Die Entwicklung von E._______ sei unterbrochen und C._______ habe psychi- sche Probleme. Sie könnten nicht in die Türkei zurückkehren, da ihre Si- cherheit dort nicht gewährleistet sei.</w:t>
      </w:r>
    </w:p>
    <w:p>
      <w:r>
        <w:rPr>
          <w:b/>
        </w:rPr>
        <w:t>E. 6.3</w:t>
      </w:r>
    </w:p>
    <w:p>
      <w:r>
        <w:t>In der Beschwerde wird insbesondere nicht konkret dargelegt, weshalb die Beschwerdeführenden bei einer Rückkehr in ihren Heimatstaat Nach- teile aus einem der von Art. 3 AsylG geschützten Gründe zu befürchten hätten.</w:t>
      </w:r>
    </w:p>
    <w:p>
      <w:r>
        <w:rPr>
          <w:b/>
        </w:rPr>
        <w:t>E. 6.4</w:t>
      </w:r>
    </w:p>
    <w:p>
      <w:r>
        <w:t>Die Beschwerdeführenden liessen die ihnen mit Zwischenverfügung vom 9. Januar 2024 angesetzte Frist zur Bekanntgabe des wesentlichen Inhalts des als Beilage ihrer Beschwerde eingereichten fremdsprachigen Beweismittels ungenutzt verstreichen (vgl. Sachverhalt Bst. E.). Dem Do- kument ist in keiner Weise ein Bezug zu den Beschwerdeführenden zu ent- nehmen. Nachdem sie auch der Aufforderung, sich zu dessen Relevanz für ihr Asylverfahren zu äussern, nicht nachgekommen sind, vermögen sie da- raus nichts zu ihren Gunsten abzuleiten.</w:t>
      </w:r>
    </w:p>
    <w:p>
      <w:r>
        <w:rPr>
          <w:b/>
        </w:rPr>
        <w:t>E. 6.5</w:t>
      </w:r>
    </w:p>
    <w:p>
      <w:r>
        <w:t>Zusammenfassend ergibt sich, dass es den Beschwerdeführenden nicht gelungen ist, eine zum Zeitpunkt ihrer Ausreise aus der Türkei beste- hende oder unmittelbar drohende asylrechtlich relevante Verfolgung nach-</w:t>
      </w:r>
    </w:p>
    <w:p>
      <w:r>
        <w:t>D-7282/2023 Seite 10 zuweisen oder zumindest glaubhaft zu machen. Nachdem eine Vorverfol- gung verneint werden muss, liegen auch keine hinreichend konkreten An- haltspunkte für eine für die Flüchtlingseigenschaft relevante Verfolgung vor, welche ihnen heute bei einer Rückkehr in den Heimatstaat mit beacht- licher Wahrscheinlichkeit und in absehbarer Zukunft drohen würde. Die Vorinstanz hat die Flüchtlingseigenschaft mangels Glaubhaftigkeit und Re- levanz der Asylvorbringen zu Recht verneint. Die Beschwerdeführenden sind nicht schutzbedürftig im Sinne von Art. 3 AsylG, weshalb das SEM die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2029 E. 8.4.5.1). Somit ist davon auszugehen, dass in der Türkei bei Bedarf eine Behandlung möglich wäre.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 es den Beschwerdeführernden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in den Heimatstaat ist demnach unter dem Aspekt von Art. 5 AsylG rechtmässig. Sodann ergeben sich weder aus den Aussagen der Beschwerdeführenden noch aus den Akten Anhaltspunkte dafür, dass sie für den Fall einer</w:t>
      </w:r>
    </w:p>
    <w:p>
      <w:r>
        <w:t>D-7282/2023 Seite 11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ist vorliegend nicht der Fall.</w:t>
      </w:r>
    </w:p>
    <w:p>
      <w:r>
        <w:rPr>
          <w:b/>
        </w:rPr>
        <w:t>E. 8.2.1</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w:t>
      </w:r>
    </w:p>
    <w:p>
      <w:r>
        <w:rPr>
          <w:b/>
        </w:rPr>
        <w:t>E. 8.3.3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w:t>
      </w:r>
    </w:p>
    <w:p>
      <w:r>
        <w:rPr>
          <w:b/>
        </w:rPr>
        <w:t>E. 8.3.4</w:t>
      </w:r>
    </w:p>
    <w:p>
      <w:r>
        <w:t>Die Beschwerdeführenden stammen aus der vom Erdbeben betroffe- nen Provinz J._______. Die Vorinstanz nahm diesbezüglich praxisgemäss eine Einzelfall Prüfung vor. Sie brachten im Rahmen ihrer Anhörungen nicht vor, sie seien durch die Erdbeben zu Schaden gekommen. Insofern kann von der Zumutbarkeit der Rückkehr in ihre Heimatprovinz ausgegan- gen werden. Das SEM führte in der angefochtenen Verfügung weiter zu- treffend aus, beim Beschwerdeführer 1 handle es sich um einen (…) Jahre</w:t>
      </w:r>
    </w:p>
    <w:p>
      <w:r>
        <w:t>D-7282/2023 Seite 12 alten, gesunden Mann. Vor der Ausreise habe er jahrzehntelang erfolgreich im (…) gearbeitet und sich dabei als Selbständigerwerbender etabliert. Zu- dem besitze er Arbeitserfahrung im (…)bereich. Die Beschwerdeführerin 2 sei teilweise erwerbstätig gewesen, um die Familie zu finanzieren. Drei ih- rer vier Kinder – E._______, F._______ und D._______ – hätten vor der Ausreise die Grundschule besucht und könnten diese nach einer Rückkehr fortführen. C._______ habe die Grundschule abgeschlossen. Bei ihm handle es sich um einen arbeitsfähigen jungen Mann, welcher bereits erste Arbeitserfahrung in (…) habe sammeln können. Zudem besitze er in (…) und mit (…) über ein zweites finanzielles Standbein. Gemäss seinen eige- nen Angaben habe er sich bereits vor der Ausreise sein Leben selbständig finanziert. Vor der Ausreise habe die Familie mietfrei in der Wohnung der Mutter des Beschwerdeführers 1 leben können. Dessen Bruder R._______ lebe immer noch in einer der mehreren Wohnungen des Hauses, in dem sie vor der Ausreise gelebt hätten. Die Beschwerdeführerin 2 habe in der Türkei insgesamt (…) Geschwister – darunter einen Bruder in K._______ und einen in I._______. Ihre restlichen Geschwister seien ebenfalls in der Stadt J._______ wohnhaft. Somit besässen sie ein grosses familiäres Um- feld, welches sie nach ihrer Rückkehr in finanzieller und sozialer Hinsicht bei einer Reintegration unterstützen könne. Zudem stünde es ihnen frei, von finanzieller Rückkehrhilfe Gebrauch zu machen.</w:t>
      </w:r>
    </w:p>
    <w:p>
      <w:r>
        <w:rPr>
          <w:b/>
        </w:rPr>
        <w:t>E. 8.3.5</w:t>
      </w:r>
    </w:p>
    <w:p>
      <w:r>
        <w:t>Zu dem vorgebrachten gesundheitlichen Problem von E._______ hielt die Vorinstanz fest, dass die (…)probleme respektive (…) Störung be- reits in ihrer Heimatstadt diagnostiziert und medikamentös behandelt wor- den seien. Die Behandlungskosten habe der türkische Staat übernommen. Darin könne kein Vollzugshindernis erblickt werden. Ebenso wenig lasse sich aus dem Schreiben des (…) vom 13. Dezember 2023 etwas zuguns- ten von E._______ ableiten. Darin wird ausgeführt, das (…) sei ab dem Kleinkindesalter ständig überwacht und vor einem Jahr aufgrund einer (…)suchung die Diagnose (…)mangel gemacht worden. Seither habe die Patientin eine (…)behandlung bekommen, die vor fünf Monaten (Anmer- kung des Gerichts: Zeitpunkt der Ausreise aus der Türkei) eingestellt wor- den sei. Die (…) verlaufe im Vergleich zum (…) mit einer Verzögerung von ungefähr (…) Jahren. Mit der Familie sei eine Verlaufskontrolle in drei Mo- naten vereinbart worden. Was die vorgebrachten gesundheitlichen Probleme des Beschwerdefüh- rers 1 und die in der Beschwerde pauschal erwähnten psychischen Prob- leme von C._______ anbelangt, ist den Akten weder zu entnehmen, dass sich diese beiden Beschwerdeführenden zum Zeitpunkt des Erlasses der</w:t>
      </w:r>
    </w:p>
    <w:p>
      <w:r>
        <w:t>D-7282/2023 Seite 13 angefochtenen Verfügung in ärztlicher Behandlung befunden hätten, noch dass sie medikamentös behandelt worden wären. In diesem Zusammen- hang ist festzuhalten, dass das türkische Gesundheitswesen grundsätzlich westeuropäischen Standards entspricht. Demgemäss kann in der Türkei grundsätzlich jede Krankheit behandelt werden und sind praktisch alle Me- dikamente erhältlich. Im Übrigen geht das Bundesverwaltungsgericht grundsätzlich sowohl von einer stationären als auch von einer ambulanten Behandlungsmöglichkeit psychischer Erkrankungen in der Türkei aus. Es existieren landesweit psychiatrische Einrichtungen; ebenso stehen Psy- chopharmaka zur Verfügung (vgl. Urteil des BVGer E-4377/2019 vom</w:t>
      </w:r>
    </w:p>
    <w:p>
      <w:r>
        <w:rPr>
          <w:b/>
        </w:rPr>
        <w:t>E. 8.3.6</w:t>
      </w:r>
    </w:p>
    <w:p>
      <w:r>
        <w:t>Der Vollzug der Wegweisung erweist sich nach dem Gesagten so- wohl in genereller als auch individueller Hinsicht als zumutbar.</w:t>
      </w:r>
    </w:p>
    <w:p>
      <w:r>
        <w:rPr>
          <w:b/>
        </w:rPr>
        <w:t>E. 8.4</w:t>
      </w:r>
    </w:p>
    <w:p>
      <w:r>
        <w:t>Nachdem die Beschwerdeführenden im Besitz gültiger türkischer Iden- titätskarten sind, ist der Vollzug auch als möglich gemäss Art. 83 Abs. 2 AIG zu bezeichnen.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den Beschwerdeführenden aufzuerlegen (Art. 63 Abs. 1 VwVG). Der in gleicher Höhe geleistete Kostenvorschuss ist zur Bezahlung der Verfah- renskosten zu verwenden. (Dispositiv nächste Seite)</w:t>
      </w:r>
    </w:p>
    <w:p>
      <w:r>
        <w:t>D-7282/2023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