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D-7277/2014 vom 15. Januar 2015</w:t>
      </w:r>
    </w:p>
    <w:p>
      <w:r>
        <w:t>Bundesverwaltungsgericht, 2015-01-15, DE</w:t>
      </w:r>
    </w:p>
    <w:p>
      <w:r>
        <w:rPr>
          <w:b/>
        </w:rPr>
        <w:t xml:space="preserve">Quelle: </w:t>
      </w:r>
      <w:r>
        <w:t>https://mcp.opencaselaw.ch/entscheid/bvger_D-7277_2014</w:t>
      </w:r>
    </w:p>
    <w:p>
      <w:r>
        <w:t>FR: TAF D-7277/2014 du 15 janvier 2015</w:t>
      </w:r>
    </w:p>
    <w:p>
      <w:r>
        <w:t>IT: TAF D-7277/2014 del 15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Eingaben in Verfahren vor den Behörden des Bundes sind in einer Amtssprache - in der Regel Deutsch, Französisch oder Italienisch - abzufassen (Art. 70 Abs. 1 BV und Art. 33a Abs. 1 VwVG). Die Beschwerdeschrift hat die Begehren, deren Begründung mit Angabe der Beweismittel und die Unterschrift des Beschwerdeführers oder des Vertreters zu enthalten (Art. 52 Abs. 1 VwVG).</w:t>
      </w:r>
    </w:p>
    <w:p>
      <w:r>
        <w:rPr>
          <w:b/>
        </w:rPr>
        <w:t>E. 1.4</w:t>
      </w:r>
    </w:p>
    <w:p>
      <w:r>
        <w:t>Das Schreiben des Beschwerdeführers vom 24. November 2014 ist nicht in einer der erwähnten Sprachen verfasst und müsste grundsätzlich zur Übersetzung an den Beschwerdeführer zurückgewiesen werden (Art. 52 Abs. 2 VwVG). Aus prozessökonomischen Gründen wird auf die Ansetzung einer Frist zur Beschwerdeverbesserung verzichtet, da der in Englisch verfassten Eingabe sinngemäss ein Beschwerdebegehren mit entsprechender Begründung entnommen und darüber aufgrund der Aktenlage entschieden werden kann.</w:t>
      </w:r>
    </w:p>
    <w:p>
      <w:r>
        <w:rPr>
          <w:b/>
        </w:rPr>
        <w:t>E. 1.5</w:t>
      </w:r>
    </w:p>
    <w:p>
      <w:r>
        <w:t>Die Beschwerde ist unter Vorbehalt von E. 1.3 und 1.4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dem genannten Vorbehalt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w:t>
      </w:r>
    </w:p>
    <w:p>
      <w:r>
        <w:t>Für Asylgesuche, die im Ausland vor Inkrafttreten der Asylgesetzände­rung vom 28. September 2012 gestellt worden sind, gelten die Artikel 12, 19, 20, 41 Abs. 2, 52 und 68 in ihrer bisherigen Fassung (vgl. Übergangs­bestimmung zur Änderung vom 28. September 2012). Demnach sind auf den vorliegenden Fall die bisherigen Bestimmungen betreffend das Auslandverfahren anzuwenden.</w:t>
      </w:r>
    </w:p>
    <w:p>
      <w:r>
        <w:rPr>
          <w:b/>
        </w:rPr>
        <w:t>E. 5.1</w:t>
      </w:r>
    </w:p>
    <w:p>
      <w:r>
        <w:t>Das Bundesamt bewilligt Asylsuchenden die Einreise in die Schweiz zur Abklärung des Sachverhalts, wenn ihnen nicht zugemutet werden kann, im Wohnsitz- oder Aufenthaltsort zu bleiben oder in einen anderen Staat auszureisen (alt Art. 20 Abs. 2 AsylG). Ein Verbleib ist namentlich dann unzumutbar, wenn die asylsuchende Person schutzbedürftig ist, d.h.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AsylG).</w:t>
      </w:r>
    </w:p>
    <w:p>
      <w:r>
        <w:rPr>
          <w:b/>
        </w:rPr>
        <w:t>E. 5.2</w:t>
      </w:r>
    </w:p>
    <w:p>
      <w:r>
        <w:t>Das Bundesamt kann ein im Ausland gestelltes Asylgesuch ablehnen - und damit auch die Einreise in die Schweiz verweigern -, wenn keine Hinweise auf eine aktuelle Gefährdung im Sinne von Art. 3 AsylG vorliegen oder es der gesuchstellenden Person zuzumuten ist, sich in einem Drittstaat um Aufnahme zu bemühen (alt Art. 52 Abs. 2 AsylG).</w:t>
      </w:r>
    </w:p>
    <w:p>
      <w:r>
        <w:rPr>
          <w:b/>
        </w:rPr>
        <w:t>E. 5.3</w:t>
      </w:r>
    </w:p>
    <w:p>
      <w:r>
        <w:t>Die Voraussetzungen zur Erteilung einer Einreisebewilligung sind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w:t>
      </w:r>
    </w:p>
    <w:p>
      <w:r>
        <w:rPr>
          <w:b/>
        </w:rPr>
        <w:t>E. 6.1</w:t>
      </w:r>
    </w:p>
    <w:p>
      <w:r>
        <w:t>Das BFM führt zur Begründung seines ablehnenden Entscheids im Wesentlichen aus, der Beschwerdeführer sei bei einem Verbleib im Heimatland nicht akut gefährdet, seine Furcht vor Verfolgung sei daher als objektiv nicht begründet im Sinne des Asylgesetzes einzustufen. Die von ihm geltend gemachte Erpressung in den Jahren 2009 und 2010 sei eine Verfolgung durch Dritte. Diese Handlungen lägen mehrere Jahre zurück und gälten heute nicht mehr als ernsthafte Nachteile. Es habe für den Beschwerdeführer ebenfalls die Möglichkeit bestanden, sich den lokal beschränkten Bedrohungen durch einen Wegzug in einen anderen Teil seines Heimatstaates zu entziehen. Mit den erstatteten Anzeigen bei der Polizei und der Human Rights Commission sei für seine Sicherheit gesorgt, der Staat Sri Lanka gälte als schutzfähig. Es hätten den Akten keine Hinweise entnommen werden können, wonach von einer Schutzunwilligkeit Sri Lankas ausgegangen werden müsse. Die Einreisebewilligung könne jedoch nur erteilt werden, wenn mit überwiegender Wahrscheinlichkeit von einer akuten Gefährdung ausgegangen werden müsse, was vorliegend nicht zutreffe. Der Beschwerdeführer habe trotz der geltend gemachten Bedrohungen das Land nicht verlassen und auch nicht geltend gemacht, dazu nicht in der Lage gewesen zu sein. Dies sei ein weiterer Hinweis dafür, dass er nicht dermassen ernsthaften Nachteilen ausgesetzt sei und nicht dermassen begründete Furcht habe, inskünftig solchen Nachteilen ausgesetzt zu sein, denen er nur durch Verlassen des Heimatlands entgehen könne. Zusammenfassend sei festzustellen, der Beschwerdeführer sei nicht schutzbedürftig im Sinne von Art. 3 AsylG.</w:t>
      </w:r>
    </w:p>
    <w:p>
      <w:r>
        <w:rPr>
          <w:b/>
        </w:rPr>
        <w:t>E. 6.2</w:t>
      </w:r>
    </w:p>
    <w:p>
      <w:r>
        <w:t>Der Beschwerdeführer macht in seiner Eingabe im Wesentlichen geltend, er sei bestürzt über den negativen Asylentscheid und die Verweigerung der Einreisebewilligung. Er habe in seinen früheren Eingaben und im Interview alle Umstände erklärt. Es sei falsch, wenn die sri-lankische Regierung öffentlich sage, die Bevölkerung würde in Frieden leben. Ausländische Botschaften, inklusive die schweizerische Botschaft, hätten Informationen, wie die sri-lankische Regierung mit den Minderheiten umgehe. Die jungen Leute könnten sich nicht frei bewegen und seien nicht sicher in ihren Häusern. Die "paramilitärischen Streitkräfte" besuchten die jungen Leute und schüchterten sie ein. Das widerfahre auch tamilischen Familien. Sie würden durch ihre unangemeldeten Besuche eine Atmos-phäre von Angst schaffen. Seine Familie sei von denselben unbekannten Gruppen telefonisch bedroht worden. Er sei nicht mehr in der Lage, diese Einschüchterungen zu ertragen. Aufgrund der vorherrschenden Situation sei er auch nicht mehr in der Lage, weitere Details schriftlich zu bezeichnen. Er fürchte sich davor, von diesen Personen getötet zu werden, sollte diese Sache verbreitet werden.</w:t>
      </w:r>
    </w:p>
    <w:p>
      <w:r>
        <w:rPr>
          <w:b/>
        </w:rPr>
        <w:t>E. 6.3</w:t>
      </w:r>
    </w:p>
    <w:p>
      <w:r>
        <w:t>Es ist festzuhalten, dass sich der Beschwerdeführer auf eine Wiederholung der bisherigen Vorbringen beschränkt und mithin keine neuen wesentlichen Sachverhaltselemente geltend macht. Die Überprüfung der Akten ergibt sodann, dass sich die diesbezüglichen Erwägungen in der angefochtenen Verfügung als zutreffend erweisen; es kann vollumfänglich auf diese verwiesen werden. Insbesondere ist hervorzuheben, dass der Beschwerdeführer eigenen Angaben gemäss letztmals im Jahr 2010 konkret bedroht wurde. Bei der Befragung durch die Botschaft im Juni 2014 gab er an, er lebe zurzeit in Frieden, äusserte aber gleichzeitig seine Besorgnis über die unsichere Zukunft seines Heimatlandes. Die Entführung des Bruders trug sich seinen Angaben gemäss im Jahr 1990 zu; angesichts dieses Vorfalls ist die Besorgnis des Beschwerdeführers, ihm oder seinen Kindern könne ein ähnliches Schicksal drohen, zwar nachvollziehbar, sie ist indessen angesichts der verstrichenen Zeit, nicht als objektiv begründete Furcht vor in naher Zukunft drohender asylrechtlich relevanter Verfolgung zu werten. Das Bundesverwaltungsgericht gelangt in Übereinstimmung mit der Vorinstanz zum Schluss, dass der Beschwerdeführer im heutigen Zeitpunkt nicht auf den Schutz der Schweiz angewiesen ist.</w:t>
      </w:r>
    </w:p>
    <w:p>
      <w:r>
        <w:rPr>
          <w:b/>
        </w:rPr>
        <w:t>E. 6.4</w:t>
      </w:r>
    </w:p>
    <w:p>
      <w:r>
        <w:t>Dem Beschwerdeführer ist es somit nicht gelungen, eine Verfolgung gemäss Art. 3 AsylG darzulegen. Das BFM hat zu Recht die Einreise in die Schweiz verweigert und das Asylgesuch aus dem Ausland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