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D-7271/2023 vom 2. Mai 2024</w:t>
      </w:r>
    </w:p>
    <w:p>
      <w:r>
        <w:t>Bundesverwaltungsgericht, 2024-05-02, DE</w:t>
      </w:r>
    </w:p>
    <w:p>
      <w:r>
        <w:rPr>
          <w:b/>
        </w:rPr>
        <w:t xml:space="preserve">Quelle: </w:t>
      </w:r>
      <w:r>
        <w:t>https://mcp.opencaselaw.ch/entscheid/bvger_D-7271_2023</w:t>
      </w:r>
    </w:p>
    <w:p>
      <w:r>
        <w:t>FR: TAF D-7271/2023 du 2 mai 2024</w:t>
      </w:r>
    </w:p>
    <w:p>
      <w:r>
        <w:t>IT: TAF D-7271/2023 del 2 maggio 2024</w:t>
      </w:r>
    </w:p>
    <w:p>
      <w:pPr>
        <w:pStyle w:val="Heading2"/>
      </w:pPr>
      <w:r>
        <w:t>Regeste</w:t>
      </w:r>
    </w:p>
    <w:p>
      <w:r>
        <w:t>Asyl und Wegweisung</w:t>
      </w:r>
    </w:p>
    <w:p>
      <w:pPr>
        <w:pStyle w:val="Heading2"/>
      </w:pPr>
      <w:r>
        <w:t>Erwägungen</w:t>
      </w:r>
    </w:p>
    <w:p>
      <w:r>
        <w:rPr>
          <w:b/>
        </w:rPr>
        <w:t>E. 7</w:t>
      </w:r>
    </w:p>
    <w:p>
      <w:r>
        <w:t>Februar 2024, E-5161/2023 vom 28. September 2023), dass unter Hinweis auf den allgemeinen Rechtsgrundsatz, wonach Rechts- missbrauch keinen Schutz verdient, im vorliegenden Fall nicht vorschnell auf eine asylrechtlich relevante Gefährdung des Beschwerdeführers ge- schlossen werden darf (vgl. Urteil des BVGer E-1373/2024 vom 20. März 2024 E. 6.3), dass aufgrund der geringen Reichweite seines Facebook-Kontos (vgl. BM4 und BM10) ohnehin nicht sehr wahrscheinlich erscheint, dass die türki- schen Strafverfolgungsbehörden die Ermittlungsverfahren gegen den Be- schwerdeführer im Falle seiner Rückkehr in die Türkei fortführen werden (vgl. Urteil des BVGer E-1156/2024 vom 27. März 2024, E-1373/2024 vom 20. März 2024 E. 6.3, D-736/2024 vom 7. Februar 2024, E-5161/2023 vom</w:t>
      </w:r>
    </w:p>
    <w:p>
      <w:r>
        <w:t>D-7271/2023 Seite 6 28. September 2023, E-2549/2021 vom 5. September 2023 E. 6.5.4, D-2098/2021 vom 24. November 2022 E. 5.3.4), zumal Untersuchungsver- fahren in der Türkei häufig eingestellt werden (vgl. statt vieler Urteil des BVGer E-1156/2024 vom 27. März 2024 m.w.H.), dass, sofern die Strafverfahren fortgeführt werden, davon auszugehen ist, der Beschwerdeführer werde Gelegenheit haben, seine Beweggründe für die Aktivitäten in den sozialen Medien – die Absicht, in der Schweiz ein Aufenthaltsrecht zu erwirken – gegenüber den türkischen Behörden zu er- klären, und es ihm gelingen wird, diese von der fehlenden Ernsthaftigkeit der politischen Inhalte seiner Beiträge zu überzeugen (vgl. Urteile des BVGer E-1373/2024 vom 20. März 2024 E. 6.3, E-7253/2023 vom 19. Feb- ruar 2024 E. 6.2.2, E-6820/2023 vom 31. Januar 2024 E. 5.3.3, E-2549/2021 vom 5. September 2023 E. 6.5.4), dass demnach auch die entsprechenden vorinstanzlichen Erwägungen mit der Rechtsprechung des Bundesverwaltungsgerichts in ähnlich gelagerten Fällen übereinstimmen und nicht zu beanstanden sind, dass nach dem Gesagten und insbesondere auch aufgrund der geringen Reichweite des Kontos im Zusammenhang mit einem allfälligen strafrecht- lichen Ermittlungsverfahren in der Türkei mit hoher Wahrscheinlichkeit keine Verurteilung zu einer unbedingten Haftstrafe zu erwarten bezie- hungsweise nicht mit erheblicher Wahrscheinlichkeit eine flüchtlingsrecht- lich relevante Verfolgung zu befürchten ist, dass daran auch das Schreiben eines türkischen Anwalts nichts zu ändern vermag (vgl. Beschwerdebeilage 6), zumal dieses als reines Gefälligkeits- schreiben zu qualifizieren ist, dass bei dieser Sachlage auf die Frage einer allfälligen Strafbarkeit der Veröffentlichungen in der Schweiz nicht weiter einzugehen ist, dass denn auch die geltend gemachte Reflexverfolgung aufgrund des an- geblichen politischen Engagements des Vaters des Beschwerdeführers so- wie weiterer Verwandter für die HDP respektive PKK/YPG zu verneinen ist, zumal er – abgesehen von Beleidigungen und Telefonanrufen (vgl. A23/14 F52 und F54 ff.), denen es an flüchtlingsrechtlich relevanter Intensität man- gelt –, nicht geltend macht, aufgrund der Vorgenannten konkrete Probleme mit den Behörden gehabt zu haben, dass daran auch die auf Beschwerdeebene eingereichte Kopie einer HDP- Mitgliedschaftskarte nichts zu ändern vermag, zumal dieses Dokument –</w:t>
      </w:r>
    </w:p>
    <w:p>
      <w:r>
        <w:t>D-7271/2023 Seite 7 seine Authentizität vorausgesetzt – lediglich zu belegen vermag, dass der Vater des Beschwerdeführers vor mehr als einem Jahrzehnt, nämlich im Jahr 2012, Mitglied der HDP war (vgl. Beschwerdebeilage 3), dass auch die pauschal geltend gemachten Diskriminierungen des Be- schwerdeführers in der Türkei, welche er teilweise im Kindesalter erfahren habe, mangels Intensität nicht über die Nachteile hinaus gehen, die weite Teile der kurdischen Bevölkerung treffen könnten, womit sie mangels Ge- zieltheit nicht als im Sinne des Gesetzes ernsthaft zu qualifizieren und da- mit flüchtlingsrechtlich nicht relevant sind, dass hinsichtlich der vom Beschwerdeführer geäusserten Furcht, er könne in den Militärdienst eingezogen werden, festzustellen ist, dass mangels entsprechender Belege weder seine Einberufung noch seine Diensttaug- lichkeit feststehen, zumal sein Vorbringen, er habe seinen Dienst bislang – somit während mehr als (…) Jahrzehnten – verschieben können (vgl. A23/14 F36 und F68 f.) sehr fraglich erscheint, dass dem befürchteten Einzug in den Militärdienst ohnehin keine asylrecht- liche Relevanz beizumessen ist, da die militärische Einberufung in der Tür- kei aufgrund der Staatsangehörigkeit und des Jahrgangs des Betroffenen erfolgt und die ethnische Zugehörigkeit des Einberufenen dabei keine Rolle spielt, und auch keine Veranlassung zur Annahme besteht, die Türkei würde Kurden speziell gegen Angehörige der eigenen Ethnie einsetzen (vgl. statt vieler Urteile des BVGer E-7065/2023 vom 1. Februar 2024 m.w.H.),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w:t>
      </w:r>
    </w:p>
    <w:p>
      <w:r>
        <w:t>D-7271/2023 Seite 8 dass bezüglich der Geltendmachung von Wegweisungsvollzugshindernis- sen gemäss Praxis des Bundesverwaltungsgerichts der gleiche Beweis- standard wie bei der Flüchtlingseigenschaft gilt, das heisst, dass allfällige Wegweisungsvollzugshindernisse zu beweisen sind, wenn der strikte Be- 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 dass der noch eher junge und gesunde Beschwerdeführer über vielseitige Berufserfahrung und ein grosses familiäres Beziehungsnetz in der Türkei – unter anderem seine Eltern und Geschwister – verfügt (vgl. A23/14 F18 und F20 ff.), weshalb davon auszugehen ist, er werde sich sowohl in be- ruflicher als auch sozialer Hinsicht schnell wieder reintegrieren können,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w:t>
      </w:r>
    </w:p>
    <w:p>
      <w:r>
        <w:t>D-7271/2023 Seite 9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D-7271/2023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