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D-7271/2015 vom 21. Oktober 2016</w:t>
      </w:r>
    </w:p>
    <w:p>
      <w:r>
        <w:t>Bundesverwaltungsgericht, 2016-10-21, DE</w:t>
      </w:r>
    </w:p>
    <w:p>
      <w:r>
        <w:rPr>
          <w:b/>
        </w:rPr>
        <w:t xml:space="preserve">Quelle: </w:t>
      </w:r>
      <w:r>
        <w:t>https://mcp.opencaselaw.ch/entscheid/bvger_D-7271_2015</w:t>
      </w:r>
    </w:p>
    <w:p>
      <w:r>
        <w:t>FR: TAF D-7271/2015 du 21 octobre 2016</w:t>
      </w:r>
    </w:p>
    <w:p>
      <w:r>
        <w:t>IT: TAF D-7271/2015 del 21 ottobre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praxisgemäss ohne weiteres darüber be­funden werden kann. Der vorliegende Entscheid ergeht in­dessen in deut­scher Sprache (Art. 33a Abs. 2 VwVG i.V.m. Art. 6 AsylG).</w:t>
      </w:r>
    </w:p>
    <w:p>
      <w:r>
        <w:rPr>
          <w:b/>
        </w:rPr>
        <w:t>E. 1.3</w:t>
      </w:r>
    </w:p>
    <w:p>
      <w:r>
        <w:t>Die Beschwerde ist frist- und grundsätzlich - abgesehen vom sprachlichen Mangel -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 Die Beschwerdeführerin sowie ihre beiden ältesten Kinder wurden am 10. April respektive am 23. Juli 2015 durch eine Mitarbeiterin der Schweizer Botschaft in Colombo zu ihren Asylgründen be­fragt. Den verfahrensrechtlichen Anforderungen wurde damit entsprochen (aArt. 10 der Asylverordnung 1 vom 11. August 1999 [AsylV 1, SR 142.311]).</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6.1</w:t>
      </w:r>
    </w:p>
    <w:p>
      <w:r>
        <w:t>Mit der Vorinstanz ist festzuhalten, dass die Vorbringen der Beschwerdeführenden weder einreise- noch asylrelevant sind. Die von ihnen geschilderte Verfolgungssituation durch die sri-lankischen Behörden und unbekannte, nichtstaatliche Gruppierungen erweist sich als nicht relevant, um daraus auf ernsthafte Nachteile im Sinne von Art. 3 AsylG zu schliessen, denen sie in Sri Lanka ausgesetzt wären. Den im Zusammenhang mit dem Sachvortrag eingereichten Be­weis­mitteln ist keine wei­te­re Bedeutung beizumessen, da in casu den Vorbringen der Beschwerdeführenden die asylrechtliche Relevanz abzusprechen ist. Zur Vermeidung von Wiederholungen kann vollumfänglich auf die nicht zu beanstandenden Ausführungen der Vorinstanz in der angefochtenen Verfügung verwiesen werden.</w:t>
      </w:r>
    </w:p>
    <w:p>
      <w:r>
        <w:rPr>
          <w:b/>
        </w:rPr>
        <w:t>E. 6.2</w:t>
      </w:r>
    </w:p>
    <w:p>
      <w:r>
        <w:t>Die Vorbringen in der Rechtsmitteleingabe sind nicht geeignet, eine Änderung der angefochtenen Verfügung zu bewirken. Zum Vorbringen, wonach die Beschwerdeführenden - entgegen der vorinstanzlichen Sichtweise - auch nach dem Jahr 2010 Drohungen und Beschimpfungen ausgesetzt gewesen seien, ist zunächst festzuhalten, dass das SEM von einem Zeitpunkt ungefähr im Jahr 2012 ausgeht, als die geltend gemachten Schwierigkeiten durch staatliche und nichtstaatliche Gruppierungen weggefallen sind. Diese zeitliche Einordnung geht denn auch aus der angefochtenen Verfügung wiederholt hervor (S. 4). Ferner finden die Angaben hinsichtlich dieses Zeitraums, welcher als Begründung zur Verneinung einer akuten Gefährdung - da mehrere Jahre zurückliegend - erheblich ist, Stütze in den Akten (vgl. Befragungsprotokolle [A._______: S. 4, 8, und 9, B._______: S. 3, C._______: S. 4]; Bst. B hiervor). Die nicht näher substanziierten Ausführungen in der Beschwerde (Drohungen und Beschimpfungen auch während der letzten paar Jahre; Unsicherheit hinsichtlich der Lebensführung irgendwo in Sri Lanka), bei denen mit Ausnahme des geltend gemachten Zeitraums ansonsten keine nennenswerten Divergenzen zum von der Vorinstanz festgestellten Sachverhalt auszumachen sind, müssen letztlich als unbelegte Behauptungen respektive sachverhaltsanpassende Nachschübe gewertet werden. Zu keiner zugunsten der Beschwerdeführenden ausfallenden Beurteilung vermögen die auf Beschwerdestufe eingereichten Beweismittel zu führen. So ist vorab festzustellen, dass sämtlichen Dokumenten der Charakter von Bestätigungsschreiben zukommt, da diese lediglich die von den Beschwerdeführenden geltend gemachte Gefährdungssituation teils in äusserst allgemeiner Form festhalten, indes aber keine massgebenden neuen Erkenntnisse oder aufschlussreichen Details zu allfälligen sich zwischenzeitlich zugetragenen Vorkommnissen enthalten (Schreiben des Divisional Secretariat, G._______ [26.10.2015]; Schreiben von Nachbarn und Freunden [1., 2. oder 3.11.2015]; Affidavit [29.10.2015]). Nicht anders verhält es sich mit dem Schreiben des Parlamentsmitglieds S.Y. (Confirmation of insecure situation [29.10.2015]). Zwar erweist sich dieses bedeutend umfangreicher als die zuvor genannten Unterlagen. Vom Aussagegehalt her unterscheidet es sich jedoch bloss darin, dass der am 11. Oktober 2015 verhaftete S.C. (Aliasname, Amtsinhaber), der Mörder des Ehemanns der Beschwerdeführerin gewesen sein soll und sie aufgrund dieser neuen Gegebenheit nun von Anhängern S.C. und seinen Verbündeten bedroht und bedrängt werde. Demnach sollen diese Drittpersonen allfällig von ihr zu Lasten S.C. eingeleitete Vorkehrungen in Erfahrung bringen respektive solche unterbinden. Unter anderem geht aus diesem Schreiben auch hervor, dass das Parlamentsmitglied S.Y. die Information über den angeblichen Mörder S.C. von einer Person namens P.M. alias E.S.K. erhalten haben soll, der als Organisator der (Parteiname), der gleichen Partei, deren (Funktion) S.C. sei, angehören soll. In den vorgenannten Bestätigungen von Freunden und Nachbarn ist von diesen angeblichen neuen Erkenntnissen jedoch mit keinem Wort die Rede. In den eingereichten Zeitungsberichten wird der Name des Ehemannes/Vaters der Beschwerdeführenden im Zusammenhang mit S.C. nicht erwähnt. Vielmehr wird laut den Zeitungsartikeln S.C. für die Ermordung des Parlamentsmitgliedes J.P am 25. Dezember 2005 verantwortlich gemacht. Gemäss den Zeitungsartikeln soll P.M. alias E.S.K. als Verdächtigter im Zusammenhang mit dem Mord an J.P. ebenfalls verhaftet worden sein. Die Ausführungen in der Rechtsmitteleingabe (Bedrohungen durch S.C.-Anhänger vor wenigen Monaten; Belästigungen und Befragungen der Beschwerdeführenden und der Nachbarn durch das CID zu S.C. nach dessen Verhaftung) zeigen nach dem Gesagten auf, dass dem vom Parlamentsmitglied S.Y. stammenden Schreiben lediglich Gefälligkeitscharakter zu attestieren ist. Insgesamt wird sogar der Eindruck erweckt, es werde nunmehr versucht, eine von der Person S.C. ausgehende einreise- respektive asylrelevante Gefährdungssituation zu konstruieren. Davon ist auch auszugehen, weil in der Bestätigung von S.Y. aufgeführt ist, der Ehemann der Beschwerdeführerin sei nach langer Haft und erfolgloser Forderung eines grossen Lösegeldes erschossen worden. Gemäss gegensätzlicher Darstellung der Beschwerdeführerin sei ihr Ehemann noch am Tag seiner Entführung getötet worden, wie ihr berichtet worden sei (vgl. Befragungsprotokoll Beschwerdeführerin S. 7). Was die als schwierig und widrig empfundenen Lebensumstände anbelangt (alleinige Bestreitung des Lebensunterhalts, Verantwortung für vier Kinder und deren Ausbildung, Angst um Töchter vor sexuellen Übergriffen), so wird damit noch keine individuelle Betroffenheit im Sinne des Asylgesetzes dargetan. Angesichts dieser Sachlage erübrigen sich weitere Erörterungen.</w:t>
      </w:r>
    </w:p>
    <w:p>
      <w:r>
        <w:rPr>
          <w:b/>
        </w:rPr>
        <w:t>E. 6.3</w:t>
      </w:r>
    </w:p>
    <w:p>
      <w:r>
        <w:t>Zusammenfassend ist festzustellen, dass die Beschwerdeführenden kei­ne Ver­folgung im Sinne von Art. 3 AsylG darzutun vermochten. Das SEM hat dem­nach zu Recht die Einreise in die Schweiz nicht bewilligt und die Asylgesuche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