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D-7268/2006 vom 18. Juli 2008</w:t>
      </w:r>
    </w:p>
    <w:p>
      <w:r>
        <w:t>Bundesverwaltungsgericht, 2008-07-18, DE</w:t>
      </w:r>
    </w:p>
    <w:p>
      <w:r>
        <w:rPr>
          <w:b/>
        </w:rPr>
        <w:t xml:space="preserve">Quelle: </w:t>
      </w:r>
      <w:r>
        <w:t>https://mcp.opencaselaw.ch/entscheid/bvger_D-7268_2006</w:t>
      </w:r>
    </w:p>
    <w:p>
      <w:r>
        <w:t>FR: TAF D-7268/2006 du 18 juillet 2008</w:t>
      </w:r>
    </w:p>
    <w:p>
      <w:r>
        <w:t>IT: TAF D-7268/2006 del 18 luglio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Asylgesetz; das Bundesverwaltungsgericht entscheidet in diesem Bereich endgültig (Art. 105 AsylG; Art. 83 Bst. d Ziff. 1 des Bundesgerichtsgesetzes vom 17. Juni 2005 [BGG, SR 173.110]).</w:t>
      </w:r>
    </w:p>
    <w:p>
      <w:r>
        <w:rPr>
          <w:b/>
        </w:rPr>
        <w:t>E. 1.2</w:t>
      </w:r>
    </w:p>
    <w:p>
      <w:r>
        <w:t>Das Bundesverwaltungsgericht übernahm am 1. Januar 2007 die Beurteilung der bei der ehemaligen ARK hängigen Rechtsmittel.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Beschwerde ist form- und fristgerecht eingereicht; der Beschwerdeführer ist legitimiert (Art. 6 AsylG i.V.m. Art. 48 Abs. 1 und Art. 50 ff. VwVG). Auf die Beschwerde ist mithin einzutreten.</w:t>
      </w:r>
    </w:p>
    <w:p>
      <w:r>
        <w:rPr>
          <w:b/>
        </w:rPr>
        <w:t>E. 2.1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Ehegatten, eingetragene Partnerinnen oder Partner von Flüchtlingen und ihre minderjährigen Kinder werden als Flüchtlinge anerkannt und erhalten Asyl, wenn keine besonderen Umstände dagegen sprechen (vgl. Art. 51 Abs. 1 AsylG).</w:t>
      </w:r>
    </w:p>
    <w:p>
      <w:r>
        <w:rPr>
          <w:b/>
        </w:rPr>
        <w:t>E. 3.1</w:t>
      </w:r>
    </w:p>
    <w:p>
      <w:r>
        <w:t>Die Vorinstanz hielt im angefochtenen Entscheid fest, es lägen vorliegend besondere Umstände im Sinne von Art. 51 Abs. 1 AsylG vor, welche dem Einbezug des Beschwerdeführers in die Flüchtlingseigenschaft seiner Ehefrau entgegenstehen würden. Die Begehung eines mit Zuchthaus bedrohten Delikts (Verbrechen) ziehe in der Regel die Asylunwürdigkeit nach sich. Die Tatsache, dass der Beschwerdeführer zu einer Gefängnisstrafe verurteilt worden sei, schliesse die Asylunwürdigkeit jedoch nicht aus. Vorliegend seien insbesondere die Schwere der Tat (Vergewaltigung) zu berücksichtigen sowie der Umstand, dass der Beschwerdeführer nicht nur einmal in schwerwiegender Weise delinquiert habe. Selbst die bedingte Vorstrafe habe den Beschwerdeführer nicht davon abgebracht, weiter zu delinquieren. Aus der Tatsache, dass der Beschwerdeführer in der Probezeit und dann darauf folgend erst noch während des hängigen Verfahrens erneut straffällig geworden sei, ergebe sich zudem das Problem der Wiederholungsgefahr. Das Familienleben sei auch im Heimatland (Montenegro) des Beschwerdeführers realisierbar, zumal er eine andere Staatsangehörigkeit als seine Frau (Bosnien und Herzegowina) besitze. Der Beschwerdeführer stamme aus C._______, einem mehrheitlich muslimisch besiedelten Gebiet; die Ehefrau sei bosnische Staatsangehörige muslimischer Ethnie.</w:t>
      </w:r>
    </w:p>
    <w:p>
      <w:r>
        <w:rPr>
          <w:b/>
        </w:rPr>
        <w:t>E. 3.2</w:t>
      </w:r>
    </w:p>
    <w:p>
      <w:r>
        <w:t>Der Beschwerdeführer hielt diesen Erwägungen in seiner Rechtsmitteleingabe sowie seiner Stellungnahme vom 17. Mai 2007 entgegen, er sei wegen in den Jahren 1995 bis 1997 begangener Delikte (u.a. Vergewaltigung, Diebstahl und Entwendung eines PW's zum Gebrauch, jedoch keine Drogendelikte) zu insgesamt 38 Monaten Gefängnis (abzüglich 318 Tage Untersuchungshaft) verurteilt worden. Vom Q._______ bis R._______ sei er in Haft gewesen. Er habe sich in der Haft anständig und unauffällig verhalten, weshalb er denn auch am S._______ vorzeitig aus dem Vollzug entlassen worden sei und nun bei seiner Ehefrau und den drei gemeinsamen Kindern wohne. Die Beziehung zu seiner Ehefrau, welche er am V._______ geehelicht habe, habe sein Leben grundsätzlich verändert. Trotz der psychisch starken Belastung (Angst vor drohender Ausschaffung; keine Möglichkeit, einer bezahlten Arbeit nachzugehen) habe er sich seit der Haftentlassung vollumfänglich korrekt verhalten, seine Frau beim Führen des Haushaltes und der Betreuung der Kinder unterstützt und mancherlei Kontakte geknüpft - nicht zuletzt auch durch die freiwillige Übernahme von Hauswartdiensten im Wohnblock -, habe im Jahre 2003 einen Intensiv-Deutschkurs besucht und auf Alkoholkonsum völlig verzichtet. Die Familie habe seit der Haftentlassung keine Schulden gemacht und er werde die noch ausstehenden Gerichtsgebühren bezahlen, sobald er einer geregelten Arbeit nachgehen könne. Ohne seine Delikte bagatellisieren zu wollen, sei festzustellen, dass er seine Strafe ohne Widerstände verbüsst habe, einsichtig sei und sich aufgrund der Beziehung zu seiner Frau und den Kindern positiv entwickelt und unter schwierigsten sozialen Bedingungen bewährt habe. Weiter sei anzuführen, dass er in seiner Heimat wegen der seinerzeitigen Desertion nach wie vor polizeilich gesucht werde und bei einer Ausweisung mit Sanktionen unbestimmter Härte rechnen müsste. Seine Ehefrau sei wegen ihrer traumatischen Kriegserfahrungen nicht imstande, im ehemaligen Kriegsgebiet zu leben, dem sie habe entfliehen können. Zudem sei keineswegs sicher, ob seine Ehefrau als muslimische Bosnierin von den Behörden in Montenegro überhaupt ins Land hinein- und im Falle einer tatsächlichen Einreise dann auch in Ruhe gelassen würde. Unter diesen Umständen sei die Chance einer Resozialisierung seiner Person in Montenegro nicht gegeben und ein Familienleben in seinem Heimatland sei weder als realisierbar noch als zumutbar zu erachten.</w:t>
      </w:r>
    </w:p>
    <w:p>
      <w:r>
        <w:rPr>
          <w:b/>
        </w:rPr>
        <w:t>E. 4</w:t>
      </w:r>
    </w:p>
    <w:p>
      <w:r>
        <w:t>Der Beschwerdeführer heiratete nach seiner Einreise in die Schweiz eine bosnisch-herzegowinische Staatsangehörige, welche mit Verfügung des BFF vom W._______ als Flüchtling anerkannt worden war. Die Ehefrau des Beschwerdeführers verfügt mittlerweile in der Schweiz über eine Niederlassungsbewilligung. Massgebend für den Einbezug in die Flüchtlingseigenschaft der Ehefrau ist die Bestimmung von Art. 51 Abs. 1 AsylG. Das am 1. Oktober 1999 in Kraft getretene revidierte Asylrecht sieht zusätzlich vor, dass ein solcher Einbezug erst nach der Feststellung erfolgen kann, dass der Einzubeziehende die Flüchtlingseigenschaft nicht selbstständig - beziehungsweise originär - erfüllt (vgl. Art. 37 der Asylverordnung 1 vom 11. August 1999 über Verfahrensfragen (AsylV 1, SR 142.311). Das BFF lehnte mit Verfügung vom 5. Juli 1994 das Asylgesuch des Beschwerdeführers rechtskräftig ab. Damit steht fest, dass er die Flüchtlingseigenschaft nicht originär erfüllt.</w:t>
      </w:r>
    </w:p>
    <w:p>
      <w:r>
        <w:rPr>
          <w:b/>
        </w:rPr>
        <w:t>E. 5.1</w:t>
      </w:r>
    </w:p>
    <w:p>
      <w:r>
        <w:t>Seit dem Inkrafttreten des neuen Rechts am 1. Oktober 1999 regelt Art. 51 AsylG unter dem Terminus "Familienasyl" all jene Sachverhalte, die zuvor von Art. 3 Abs. 3 aAsylG (Einbezug in die Flüchtlingseigenschaft) oder von Art. 7 aAsylG (Familienvereinigung) erfasst wurden.</w:t>
      </w:r>
    </w:p>
    <w:p>
      <w:r>
        <w:rPr>
          <w:b/>
        </w:rPr>
        <w:t>E. 5.2</w:t>
      </w:r>
    </w:p>
    <w:p>
      <w:r>
        <w:t>Der Leitgedanke des Familienasyls besteht darin, den Rechtsstatus der zum Zeitpunkt der Flucht bestehenden Kernfamilie eines Flüchtlings einheitlich zu regeln, sofern er dieselbe Nationalität wie der Flüchtling besitzt. Diese einheitliche Regelung rechtfertigt sich, da davon ausgegangen wird, dass die engsten Familienangehörigen unter der Verfolgung des Ehegatten beziehungsweise der Ehegattin mitgelitten haben oder selbst der Gefahr der Verfolgung ausgesetzt waren. Eine "conditio sine qua non" der Konzeption des Familienasyls ist daher die Tatsache, dass zum Zeitpunkt der Flucht eine Familiengemeinschaft bestanden haben muss. Ein automatischer Einbezug in die Flüchtlingseigenschaft des Gatten oder der Gattin und die anschliessende Gewährung von Asyl sind demnach nur in den Fällen möglich, in denen die Voraussetzungen nach Art. 51 Abs. 1 vorliegen und eine Familiengemeinschaft vor der Flucht bestanden hat. Jedoch ist insbesondere bei der nachträglichen Heirat eines anerkannten Flüchtlings mit einer Person aus seinem Heimatstaat kein automatischer Einbezug in die Flüchtlingseigenschaft mehr möglich. In diesen Fällen steht den Betroffenen die Möglichkeit offen, entweder selbst befürchtete Nachteile im Sinne von Art. 3 AsylG geltend zu machen oder sich um eine ordentliche fremdenpolizeiliche Aufenthaltsbewilligung zu bemühen. Gemäss Art. 8 der Konvention vom 4. November 1950 zum Schutze der Menschenrechte und Grundfreiheiten (EMRK, SR 0.101) besteht in diesen Fällen ohnehin Anspruch auf eine Anwesenheitsregelung des Ehegatten des Flüchtlings und ihrer minderjährigen Kinder (vgl. Botschaft zur Totalrevision des Asylgesetzes vom 4. Dezember 1995, BBl 1996 II 68 ff.).</w:t>
      </w:r>
    </w:p>
    <w:p>
      <w:r>
        <w:rPr>
          <w:b/>
        </w:rPr>
        <w:t>E. 5.3</w:t>
      </w:r>
    </w:p>
    <w:p>
      <w:r>
        <w:t>Materiellrechtlich haben mit dem Inkrafttreten des neuen Rechts die bis dahin geltenden Bestimmungen keine grundlegende Veränderung erfahren. Eine wesentliche Neuerung ist gleichwohl darin zu erblicken, als eine Trennung des in der Schweiz anerkannten Flüchtlings und der anspruchsberechtigten Person dann nicht mehr durch die Flucht verursacht worden sein muss, wenn die Familienangehörigen des Flüchtlings bereits in der Schweiz weilen (vgl. Art. 51 Abs. 1, 2 und 4 AsylG). Halten sich somit die das Familienasyl beantragenden Familienangehörigen im Zeitpunkt der Gesuchseinreichung bereits in der Schweiz auf, fällt für sie das Erfordernis der Trennung durch Flucht weg. Jedoch bleibt es für eine Gewährung des Familienasyls erforderlich, dass der Ehegatte mit dem in der Schweiz anerkannten Flüchtling zum Zeitpunkt seiner Flucht in einem gemeinsamen Haushalt gelebt hat und eine Wiederherstellung dieser Gemeinschaft gleichzeitig unentbehrlich ist sowie in der Schweiz tatsächlich auch angestrebt wird (vgl. dazu Entscheidungen und Mitteilungen der Schweizerischen Asylrekurskommission [EMARK] 2006 Nr. 8 E. 3.2. S. 94, EMARK 2000 Nr. 11 E. 3a und 3b S. 88 f.).</w:t>
      </w:r>
    </w:p>
    <w:p>
      <w:r>
        <w:rPr>
          <w:b/>
        </w:rPr>
        <w:t>E. 6.1</w:t>
      </w:r>
    </w:p>
    <w:p>
      <w:r>
        <w:t>Vorliegend ist in Anwendung der oben in E. 5.2 und 5.3 dargelegten Regelung festzustellen, dass der Beschwerdeführer zum Zeitpunkt seiner Flucht mit seiner Ehefrau nicht in einem gemeinsamen Haushalt lebte, zumal er diese den Akten zufolge erst in der Schweiz kennenlernte und am 5. März 1998 heiratete, somit eine Wiederherstellung dieser Gemeinschaft in der Schweiz folgerichtig auch nicht angestrebt werden konnte. Daher bestand vorliegend - gemäss dem dem Familienasyl zugrunde liegenden Kerngedanken - zum Zeitpunkt der Flucht keine Familiengemeinschaft, weshalb es an den Voraussetzungen zum Einbezug des Beschwerdeführers in die Flüchtlingseigenschaft seiner Ehefrau mangelt.</w:t>
      </w:r>
    </w:p>
    <w:p>
      <w:r>
        <w:rPr>
          <w:b/>
        </w:rPr>
        <w:t>E. 6.2</w:t>
      </w:r>
    </w:p>
    <w:p>
      <w:r>
        <w:t>Sind die Voraussetzungen des Familienasyls im Sinne von Art. 51 Abs. 1 und 2 AsylG nicht erfüllt, können weder die Bestimmungen von Art. 8 EMRK noch jene von Art. 17 und 23 des Internationalen Pakts vom 16. Dezember 1966 über bürgerliche und politische Rechte (SR 0.103.2) im Asylverfahren ergänzend angewandt werden; die Frage nach einem allfälligen Anspruch auf Familiennachzug ist gestützt auf die vorerwähnten Bestimmungen von der zuständigen kantonalen Ausländerbehörde zu prüfen (vgl. EMARK 2002 Nr. 6 E. 5a und b S. 44 f.). Die Ehefrau des Beschwerdeführers ist im Besitze einer Niederlassungsbewilligung und verfügt demnach über ein gefestigtes Aufenthaltsrecht in der Schweiz. Somit hat der Beschwerdeführer grundsätzlich einen Anspruch auf Erteilung einer Aufenthaltsbewilligung (vgl. EMARK 2001 Nr. 21), welcher von den zuständigen fremdenpolizeilichen Behörden zu prüfen ist. Unter diesen Umständen erübrigt es sich, auf die weiteren Vorbringen und auf die als Beweismittel eingereichten Dokumente im Einzelnen einzugehen, da sie nicht zu einer anderen Beurteilung zu führen vermögen.</w:t>
      </w:r>
    </w:p>
    <w:p>
      <w:r>
        <w:rPr>
          <w:b/>
        </w:rPr>
        <w:t>E. 6.3</w:t>
      </w:r>
    </w:p>
    <w:p>
      <w:r>
        <w:t>Die Vorinstanz hat deshalb im Ergebnis zu Recht, wenn auch mit etwas anderer Begründung (für den Umfang der rechtlichen Regelung ist jedoch allein das Dispositiv massgebend), das Gesuch des Beschwerdeführers um Einbezug in die Flüchtlingseigenschaft seiner Ehefrau abgelehnt.</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dem Beschwerdeführer aufzuerlegen (Art. 63 Abs. 1 VwVG) und auf insgesamt Fr. 600.-- festzusetzen (Art. 16 Abs. 1 Bst. a VGG i.V.m. Art. 2 und 3 des Reglements vom 21. Februar 2008 über die Kosten und Entschädigungen vor dem Bundesverwaltungsgericht [VGKE, SR 173.320.2]). Diese sind mit dem am 17. Februar 2000 geleisteten Kostenvorschuss in der Höhe von Fr. 600.--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