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D-7266/2023 vom 8. Januar 2024</w:t>
      </w:r>
    </w:p>
    <w:p>
      <w:r>
        <w:t>Bundesverwaltungsgericht, 2024-01-08, DE</w:t>
      </w:r>
    </w:p>
    <w:p>
      <w:r>
        <w:rPr>
          <w:b/>
        </w:rPr>
        <w:t xml:space="preserve">Quelle: </w:t>
      </w:r>
      <w:r>
        <w:t>https://mcp.opencaselaw.ch/entscheid/bvger_D-7266_2023</w:t>
      </w:r>
    </w:p>
    <w:p>
      <w:r>
        <w:t>FR: TAF D-7266/2023 du 8 janvier 2024</w:t>
      </w:r>
    </w:p>
    <w:p>
      <w:r>
        <w:t>IT: TAF D-7266/2023 del 8 gennaio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Die Fragen der Anerkennung der Flüchtlingseigenschaft und der Gewährung von Asyl bilden demgegenüber nicht Gegenstand des angefochtenen Nichteintretensentscheides und damit auch nicht des vorliegenden Verfahrens. Auf die entsprechenden Beschwerdeanträge ist deshalb nicht einzutreten.</w:t>
      </w:r>
    </w:p>
    <w:p>
      <w:r>
        <w:rPr>
          <w:b/>
        </w:rPr>
        <w:t>E. 3.3</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5.1</w:t>
      </w:r>
    </w:p>
    <w:p>
      <w:r>
        <w:t>In der Beschwerdeeingabe wird geltend gemacht, der Beschwerdeführer habe über die Feiertage keinen Termin mit seiner Rechtsvertretung vereinbaren können. Er werde dies jedoch nachholen und seine Beschwerde entsprechend ergänzen.</w:t>
      </w:r>
    </w:p>
    <w:p>
      <w:r>
        <w:rPr>
          <w:b/>
        </w:rPr>
        <w:t>E. 5.2</w:t>
      </w:r>
    </w:p>
    <w:p>
      <w:r>
        <w:t>Das Abwarten einer etwaigen Beschwerdeergänzung ist vorliegend nicht angezeigt, da das Verfahren als spruchreif zu erachten und nicht davon auszugehen ist, dass eine Beschwerdeergänzung zusätzliche, für die Entscheidfindung wesentliche Punkte ins Verfahren einbringen könnte.</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Mit Beschluss des Bundesrates vom 14. Dezember 2007 wurden sämtliche Länder der Europäischen Union (EU) und der Europäischen Freihandelsassoziation (EFTA) als sichere Drittstaaten bezeichnet. Bei Deutschland als Mitgliedstaat der EU handelt es sich um einen sicheren Drittstaat im Sinne von Art. 6a Abs. 2 Bst. b AsylG. Den vorinstanzlichen Akten ist sodann zu entnehmen, dass dem Beschwerdeführer in Deutschland internationaler Schutz gewährt worden ist und die deutschen Behörden seiner Rückübernahme ausdrücklich zugestimmt haben. Demnach sind die Voraussetzungen für einen Nichteintretensentscheid grundsätzlich gegeben. Allein der Umstand, dass der Beschwerdeführer lieber in der Schweiz als in Deutschland leben möchte, vermag an dieser Feststellung nichts zu ändern. Ebenfalls unbehelflich ist der Einwand auf Beschwerdeebene, dass sich der Beschwerdeführer zwei Jahre in Grossbritannien und somit ausserhalb der EU aufgehalten habe, weshalb die Zuständigkeit Deutschlands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erloschen sei. Dies bereits deshalb, da es sich vorliegend nicht um ein Verfahren nach Dublin-III-VO handelt.</w:t>
      </w:r>
    </w:p>
    <w:p>
      <w:r>
        <w:rPr>
          <w:b/>
        </w:rPr>
        <w:t>E. 6.3</w:t>
      </w:r>
    </w:p>
    <w:p>
      <w:r>
        <w:t>Das SEM ist demnach in Anwendung von Art. 31a Abs. 1 Bst. a AsylG zu Recht auf das Asylgesuch des Beschwerdeführers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Insbesondere lässt sich vorliegend ein solcher Anspruch nicht aus Art. 8 EMRK ableiten. Denn aus dem in Art. 8 EMRK (und Art. 13 BV) gewährleisteten Schutz des Familienlebens erwächst nur dann ein potenzieller Anspruch auf Aufenthalt in der Schweiz, wenn intakte und tatsächlich gelebte Familienbande zu nahen Verwandten (sog. Kernfamilie) bestehen, die in der Schweiz über ein gefestigtes Anwesenheitsrecht verfügen. Von einem solchen ist ohne weiteres bei einer schweizerischen Staatsangehörigkeit auszugehen, ebenso bei einer Niederlassungs- oder Aufenthaltsbewilligung, auf deren Verlängerung ein Anspruch besteht. Zudem fallen in Ausnahmesituationen auch Personen darunter, deren Anwesenheit faktisch als Realität hingenommen wird respektive aus objektiven Gründen hingenommen werden muss (vgl. Urteil des BVGer D-1448/2018 vom 14. August 2020 E. 4.3 m.w.H.). Soweit aus den Akten ersichtlich, verfügt die Partnerin des Beschwerdeführers - die sich grundsätzlich auf die Bestimmungen des Abkommens zwischen der Schweizerischen Eidgenossenschaft einerseits und der Europäischen Gemeinschaft und ihren Mitgliedstaaten andererseits über die Freizügigkeit (Freizügigkeitsabkommen [FZA], SR 0.142.112.681) berufen könnte - über keinen schweizerischen Aufenthaltstitel und folglich über kein gefestigtes Anwesenheitsrecht.</w:t>
      </w:r>
    </w:p>
    <w:p>
      <w:r>
        <w:rPr>
          <w:b/>
        </w:rPr>
        <w:t>E. 7.3</w:t>
      </w:r>
    </w:p>
    <w:p>
      <w:r>
        <w:t>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 namentlich Art. 33 Abs. 1 des Abkommens vom 28. Juli 1951 über die Rechtsstellung der Flüchtlinge [FK, SR 0.142.30], Art. 3 des Übereinkommens vom 10. Dezember 1984 gegen Folter und andere grausame, unmenschliche oder erniedrigende Behandlung oder Strafe (FoK, SR 0.105) oder Art. 3 EMRK - einer Weiterreise der Ausländerin oder des Ausländers in den Heimat-, Herkunfts- oder einen Drittstaat entgegenstehen (Art. 83 Abs. 3 AIG).</w:t>
      </w:r>
    </w:p>
    <w:p>
      <w:r>
        <w:rPr>
          <w:b/>
        </w:rPr>
        <w:t>E. 8.3</w:t>
      </w:r>
    </w:p>
    <w:p>
      <w:r>
        <w:t>Deutschland gilt als sicherer Drittstaat (vgl. Art. 6a Abs. 2 Bst. b AsylG), in welchem der Beschwerdeführer Schutz vor Rückschiebung im Sinne von Art. 5 Abs. 1 AsylG findet. Deutschland ist sodann Signatarstaat der EMRK, der FoK und der FK sowie des Zusatzprotokolls der FK vom 31. Januar 1967 (SR 0.142.301) und kommt seinen diesbezüglichen völkerrechtlichen Verpflichtungen grundsätzlich nach. Der Beschwerdeführer hat in Deutschland internationalen Schutz erhalten, weshalb er sich auf die ihm zustehenden Rechte gemäss Qualifikationsrichtlinie berufen kann. Demnach bestehen keine Anhaltspunkte dafür, dass ihm bei einer Rückkehr nach Deutschland eine menschenrechtswidrige Behandlung im Sinne von Art. 25 Abs. 3 BV, von Art. 3 FoK und der Praxis zu Art. 3 EMRK drohen könnte.</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Gemäss Art. 83 Abs. 5 AIG ist der Vollzug der Wegweisung in einen EU- oder EFTA-Staat in der Regel zumutbar. Gründe, welche diese Vermutung umstossen könnten, sind keine ersichtlich. Insbesondere ist unter Hinweis auf die Erwägungen der Vorinstanz hervorzuheben, dass Deutschland über ein funktionierendes Gesundheitssystem verfügt und der Beschwerdeführer etwaige gesundheitliche Probleme dort behandeln lassen könnte. Nach dem Gesagten erweist sich der Vollzug der Wegweisung auch als zumutbar.</w:t>
      </w:r>
    </w:p>
    <w:p>
      <w:r>
        <w:rPr>
          <w:b/>
        </w:rPr>
        <w:t>E. 8.6</w:t>
      </w:r>
    </w:p>
    <w:p>
      <w:r>
        <w:t>Der Vollzug der Wegweisung des Beschwerdeführers nach Deutschland ist schliesslich möglich (vgl. Art. 8 Abs. 4 AsylG und dazu auch BVGE 2008/34 E. 12).</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