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D-7264/2013 vom 26. März 2014</w:t>
      </w:r>
    </w:p>
    <w:p>
      <w:r>
        <w:t>Bundesverwaltungsgericht, 2014-03-26, DE</w:t>
      </w:r>
    </w:p>
    <w:p>
      <w:r>
        <w:rPr>
          <w:b/>
        </w:rPr>
        <w:t xml:space="preserve">Quelle: </w:t>
      </w:r>
      <w:r>
        <w:t>https://mcp.opencaselaw.ch/entscheid/bvger_D-7264_2013</w:t>
      </w:r>
    </w:p>
    <w:p>
      <w:r>
        <w:t>FR: TAF D-7264/2013 du 26 mars 2014</w:t>
      </w:r>
    </w:p>
    <w:p>
      <w:r>
        <w:t>IT: TAF D-7264/2013 del 26 marzo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Gemäss Absatz 1 der Übergangsbestimmungen zur Änderung vom 14. Dezember 2012 des AsylG gilt für die im Zeitpunkt des Inkrafttretens der Änderung dieses Gesetzes hängigen Verfahren mit Ausnahme der Absätze 2-4 das neue Recht.</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Beschwerde wird im Wesentlichen geltend gemacht, der Beschwerdeführer sei ein sehr aktives Mitglied der "Hirak" und habe sich für die Unabhängigkeit des Südens eingesetzt. Und wie überall auf der Welt werde auch im Jemen jede separatistische Bewegung verfolgt, deren Supporter getötet und gefoltert. Eine Rückkehr wäre Selbstmord. Es könne nicht bestritten werden, dass der Beschwerdeführer "polizeilich" gesucht worden sei. Nach Art. 125 des jemenitischen Strafgesetzbuchs werde derjenige, der die nationale Sicherheit und Unabhängigkeit des Landes gefährde, mit dem Tod bestraft. Der Beschwerdeführer unterliege dieser Bestimmung diskussionslos, und dies sei von der Vorinstanz gar nicht bestritten worden. Ausserdem genügten schon seine Aktivitäten in der Schweiz, um den Beschwerdeführer zu gefährden.</w:t>
      </w:r>
    </w:p>
    <w:p>
      <w:r>
        <w:rPr>
          <w:b/>
        </w:rPr>
        <w:t>E. 5.2</w:t>
      </w:r>
    </w:p>
    <w:p>
      <w:r>
        <w:t>Diese Vorbringen in der Beschwerdeschrift vermögen nicht zu einer veränderten Betrachtungsweise zu führen, zumal sie - beispielsweise - in Widerspruch zu seinen Vorbringen anlässlich der Anhörung vom 16. Mai 2012 stehen, machte er doch damals noch geltend, er habe keine Probleme mit den jemenitischen Behörden gehabt (A49/18 F49 S. 7, F58 S. 8), obwohl er jahrelang regierungskritische Artikel verfasst habe (A49/18 F59 - F75 S. 8 - 10). Die Vorbringen in der Beschwerdeschrift erscheinen insoweit als Anpassung des Sachverhalts an die kritischen Einwände des Befragers, der die Vorbringen des Beschwerdeführers zu Recht als wirklichkeitsfremd qualifiziert hat. Angesichts der Fülle von wesentlichen Punkten der geltend gemachten Verfolgungssituation, die der Beschwerdeführer widersprüchlich, chronologisch unstimmig, unsubstanziiert und wirklichkeitsfremd geschildert hat, nebst nachgeschobenen oder später nicht mehr erwähnten Begleitumständen der geltend gemachten Verfolgungssituation, drängt sich der Schluss auf, er habe bei seinen Schilderungen nicht auf Erinnerungen an tatsächliche Begebenheiten zurückgreifen können und stattdessen eine beziehungsweise mehrere Verfolgungssituationen erfunden. Auch die tatsachenwidrige Schilderung des Reisewegs durch den Beschwerdeführer führt zum gleichen Schluss (vgl. A7/3; Entscheidungen und Mitteilungen der Schweizerischen Asylrekurskommission [EMARK] 1998 Nr. 17 E. 4b S. 150). Zur Vermeidung von Wiederholungen kann an dieser Stelle vollumfänglich auf die zutreffenden und überzeugenden Erwägungen in der vorinstanzlichen Verfügung verwiesen werden. Im Übrigen ist nicht von der Existenz subjektiver Nachfluchtgründe auszugehen, werden solche doch lediglich in unsubstanziierter Weise behauptet. Schliesslich ist und bleibt es unbestritten, dass der Beschwerdeführer nach der Rückkehr in den Heimatstaat der Strafgesetzgebung seines Heimatstaats unterliegt; angesichts der Unglaubhaftigkeit seiner Vorbringen ist dies vorliegend jedoch unerheblich, weil die geltend gemachte Furcht vor einer Bestrafung nach Art. 125 des jemenitischen Strafgesetzbuches unbegründet ist. Bei dieser Sachlage erübrigt es sich, auf weitere Vorbringen in der Beschwerdeschrift einzugehen.</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Jemen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Im vorliegenden Fall ist der Vollzug der Wegweisung des Beschwerdeführers nach Jemen als zumutbar im Sinne von Art. 83 Abs. 4 AuG zu erachten, da er nicht darzutun vermochte, dass er bei einer Rückkehr ins Heimatland einer konkreten Gefährdungssituation im Sinne der zu beachtenden Bestimmung ausgesetzt wäre, dies umso weniger, als sich der Beschwerdeführer nicht in der Provinz Abyan (vgl. Urteil des Bundesverwaltungsgerichts E-3713/2013 E. 5.5.2) niederlassen muss und seine Verwandten im Heimatstaat ohnehin nicht in der Provinz Abyan leben (A1/10 Ziff. 12 S. 4). In Jemen herrscht zur Zeit keine Situation allgemeiner Gewalt, weshalb in konstanter Praxis von der generellen Zumutbarkeit des Wegweisungsvollzugs dorthin ausgegangen wird. In den Akten finden sich im Weiteren auch keine konkreten Anhaltspunkte dafür, dass der Beschwerdeführer bei einer Rückkehr ins Heimatland - beispielsweise nach N._______ (vgl. A60/14 F29 S. 5, A1/10 Ziff. 8 S. 3) - aus individuellen Gründen wirtschaftlicher, sozialer oder gesundheitlicher Natur in eine existenzbedrohende Situation geraten würde. Es handelt sich bei ihm um einen jungen Mann ohne aktenkundige gesundheitliche Probleme, welcher über eine überdurchschnittliche Schul- und Hochschulausbildung als Buchhalter inklusive Arbeitserfahrung im Ausland verfügt. Es ist ihm unter diesen Umständen ohne weiteres zuzumuten, bei einer Rückkehr nach Jemen einer Erwerbstätigkeit nachzugehen, um so seinen Lebensunterhalt zu bestreiten. Im Übrigen verfügt der Beschwerdeführer im Heimatland über ein familiäres Beziehungsnetz insbesondere auch in N._______ (A1/10 Ziff. 12 S. 4), auf welches er bei Bedarf zurückgreifen könnte, was ihm umso eher möglich ist, als seinen Vorbringen zufolge die Familie in überdurchschnittlichen wirtschaftlichen Verhältnissen lebt (A1/10 Ziff. 8 S. 3, Ziff. 16 am Ende S. 7). Der Vollzug der Wegweisung ist daher insgesamt als zumutbar zu erachten.</w:t>
      </w:r>
    </w:p>
    <w:p>
      <w:r>
        <w:rPr>
          <w:b/>
        </w:rPr>
        <w:t>E. 7.6</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7.7</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Der Beschwerdeführer beantragt die Gewährung der unentgeltlichen Rechtspflege gemäss Art. 65 Abs. 1 VwVG. Aufgrund der vorstehenden Erwägungen ergibt sich, dass sein Begehren als aussichtslos zu gelten hat. Damit ist eine der kumulativ zu erfüllenden Voraussetzungen nicht gegeben. Zudem wurde eine Bedürftigkeit lediglich behauptet, indessen nicht belegt. Dem Gesuch um Gewährung der unentgeltlichen Rechtspflege im Sinne von Art. 65 Abs. 1 VwVG ist daher nicht stattzugeben.</w:t>
      </w:r>
    </w:p>
    <w:p>
      <w:r>
        <w:rPr>
          <w:b/>
        </w:rPr>
        <w:t>E. 9.2</w:t>
      </w:r>
    </w:p>
    <w:p>
      <w:r>
        <w:t>Das Gesuch um unentgeltliche Rechtsverbeiständung im Sinne von Art. 65 Abs. 2 VwVG ist mangels Erfüllung der Voraussetzungen von Art. 65 Abs. 1 VwVG ebenfalls abzuweisen.</w:t>
      </w:r>
    </w:p>
    <w:p>
      <w:r>
        <w:rPr>
          <w:b/>
        </w:rPr>
        <w:t>E. 9.3</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