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D-7263/2015 vom 21. Juni 2017</w:t>
      </w:r>
    </w:p>
    <w:p>
      <w:r>
        <w:t>Bundesverwaltungsgericht, 2017-06-21, DE</w:t>
      </w:r>
    </w:p>
    <w:p>
      <w:r>
        <w:rPr>
          <w:b/>
        </w:rPr>
        <w:t xml:space="preserve">Quelle: </w:t>
      </w:r>
      <w:r>
        <w:t>https://mcp.opencaselaw.ch/entscheid/bvger_D-7263_2015</w:t>
      </w:r>
    </w:p>
    <w:p>
      <w:r>
        <w:t>FR: TAF D-7263/2015 du 21 juin 2017</w:t>
      </w:r>
    </w:p>
    <w:p>
      <w:r>
        <w:t>IT: TAF D-7263/2015 del 21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Die Beschwerde ist frist- und formgerecht (Art. 108 Abs. 2 AsylG; Art. 105 AsylG i.V.m. Art. 37 VGG und Art. 52 Abs. 1 VwVG)eingereicht.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Bundesverwaltungsgericht hat im Urteil D-7853/2015 vom 31. Mai 2017 (zur Publikation als Referenzurteil vorgesehen)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sei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Urteil D-7853/2015 vom 31. Mai 2017 E. 13).</w:t>
      </w:r>
    </w:p>
    <w:p>
      <w:r>
        <w:rPr>
          <w:b/>
        </w:rPr>
        <w:t>E. 4.2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 Die Beschwerde ist daher gutzuheissen, soweit die Aufhebung der vorinstanzlichen Verfügung beantragt wird.</w:t>
      </w:r>
    </w:p>
    <w:p>
      <w:r>
        <w:rPr>
          <w:b/>
        </w:rPr>
        <w:t>E. 5.1</w:t>
      </w:r>
    </w:p>
    <w:p>
      <w:r>
        <w:t>Bei diesem Ausgang des Verfahrens sind keine Kosten zu erheben (Art. 63 Abs. 1 und 2 VwVG).</w:t>
      </w:r>
    </w:p>
    <w:p>
      <w:r>
        <w:rPr>
          <w:b/>
        </w:rPr>
        <w:t>E. 5.2</w:t>
      </w:r>
    </w:p>
    <w:p>
      <w:r>
        <w:t>Die Beschwerdeinstanz kann der ganz oder teilweise obsiegenden Partei von Amtes wegen oder auf Begehren hin eine Entschädigung für die ihr erwachsenen notwendigen und verhältnismässig hohen Kosten zusprechen (Art. 64 Abs. 1 VwVG i.V.m. Art. 7 Abs. 1 und 2 des Reglements vom 21. Februar 2008 über die Kosten und Entschädigungen vor dem Bundesverwaltungsgericht [VGKE, SR 173.320.2]). Gemäss der Kostennote der Rechtsvertretung vom 11. November 2015 werden ein zeitlicher Aufwand von insgesamt fünf Stunden bei einem Stundenansatz von Fr. 194.- und eine Spesenpauschale in der Höhe von Fr. 54.- geltend gemacht. Das Gericht erachtet den in der Kostennote veranschlagten Aufwand als leicht überhöht und kürzt ihn auf vier Stunden. Den Aufwand der Rechtsvertretung für die Abfassung der Replik schätzt das Gericht von Amtes wegen auf eine Stunde. Dem Beschwerdeführer ist somit unter Berücksichtigung der Bemessungsgrundsätze nach Art. 7 ff. VGKE eine Parteientschädigung zu Lasten des SEM in der Höhe von Fr. 1024.-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