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D-7259/2013 vom 11. April 2014</w:t>
      </w:r>
    </w:p>
    <w:p>
      <w:r>
        <w:t>Bundesverwaltungsgericht, 2014-04-11, DE</w:t>
      </w:r>
    </w:p>
    <w:p>
      <w:r>
        <w:rPr>
          <w:b/>
        </w:rPr>
        <w:t xml:space="preserve">Quelle: </w:t>
      </w:r>
      <w:r>
        <w:t>https://mcp.opencaselaw.ch/entscheid/bvger_D-7259_2013</w:t>
      </w:r>
    </w:p>
    <w:p>
      <w:r>
        <w:t>FR: TAF D-7259/2013 du 11 avril 2014</w:t>
      </w:r>
    </w:p>
    <w:p>
      <w:r>
        <w:t>IT: TAF D-7259/2013 del 11 aprile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Der dem Beschwerdeführer von der Vorinstanz angelastete Widerspruch bei der Schilderung der behördlichen Vorgehensweise nach der Razzia vom September 2008 (eine Woche lang Haft und Verhöre mit Ausgang über Mittag beziehungsweise Entlassung bereits am ersten Tag) kann den Akten so nicht entnommen werden. Vielmehr gab er übereinstimmend an, eine Woche lang befragt worden und nie über Nacht im Gewahrsam verblieben zu sein. Die Aussage bei der ersten Befragung, er sei am gleichen Tag wieder entlassen worden, ist somit zwar allenfalls missverständlich, kann aber - schon aufgrund des summarischen Charakters der Befragung - nicht als Widerspruch interpretiert werden (B 9/17 Antworten 73 ff.; B 5/14 S. 9). Im Weiteren erklärte er, sich für die Befreiung der orthodoxen Priester von der Militärdienstpflicht eingesetzt zu haben. Auf Nachfragen konkretisierte er, persönlich von der Militärdienstpflicht befreit gewesen zu sein, weil sich der Patriarch für ihn eingesetzt habe. Grundsätzlich seien aber orthodoxe Priester militärdienstpflichtig; insgesamt seien landesweit lediglich etwa 30 Personen von dieser Pflicht entbunden worden (B 9/17 Antworten 50 und 118). Entgegen der Sichtweise des BFM kann auch dieses Aussageverhalten nicht als widersprüchlich qualifiziert werden. Das weitere vor­instanzliche Argument, die Warnung des beim Geheimdienst beschäftigten Verwandten vor der drohenden Festnahme sei realitätsfremd, kann nur sehr bedingt nachvollzogen werden. Der Beschwerdeführer war auf Vorhalt in der Lage, die Bewegründe und Ängste dieses Verwandten differenziert darzulegen (B 9/17 Antworten 86 f.).</w:t>
      </w:r>
    </w:p>
    <w:p>
      <w:r>
        <w:rPr>
          <w:b/>
        </w:rPr>
        <w:t>E. 4.2</w:t>
      </w:r>
    </w:p>
    <w:p>
      <w:r>
        <w:t>Ferner war der Beschwerdeführer fähig, sein Engagement als orthodoxer und kritischer Priester in B._______ angemessen zu substanziieren. Dass er deswegen mit den Behörden - auch wegen der geplanten Publikation eines Buches - in Konflikt geriet und einer engmaschigen Überwachung ausgesetzt war, ist nach dem Gesagten entgegen den Vorhaltungen des BFM glaubhaft. Abgesehen davon finden sich im angefochtenen Entscheid keine Erwägungen, welche die Ausübung eines priesterlichen Amtes des Beschwerdeführers als solches generell in Frage stellen würden. Der geforderte Beizug der Akten der Ehefrau des Beschwerdeführers ergibt im Übrigen, dass im dortigen Entscheid dessen klerikales Amt verbunden mit behördlichen Massnahmen nicht bezweifelt, diese Überwachung - so hinsichtlich der Ehefrau als Beschwerdeführerin - indes nicht als verfolgungsintensiv im Sinne des Asylgesetzes qualifiziert wurde (A 23/8 S. 3).</w:t>
      </w:r>
    </w:p>
    <w:p>
      <w:r>
        <w:rPr>
          <w:b/>
        </w:rPr>
        <w:t>E. 4.3</w:t>
      </w:r>
    </w:p>
    <w:p>
      <w:r>
        <w:t>Im Sinne eines Zwischenergebnisses ist mithin glaubhaft, dass der Beschwerdeführer bereits vor der geltend gemachten Inhaftnahme vom Oktober 2008 im Fokus der Behörden stand.</w:t>
      </w:r>
    </w:p>
    <w:p>
      <w:r>
        <w:rPr>
          <w:b/>
        </w:rPr>
        <w:t>E. 5.1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5.2</w:t>
      </w:r>
    </w:p>
    <w:p>
      <w:r>
        <w:t>Aus den glaubhaften Vorbringen des Beschwerdeführers und den Akten seiner Ehefrau, welche zusammen mit den Kindern am 2. Februar 2010 als Flüchtling in der Schweiz vorläufig aufgenommen wurde, ergibt sich, dass der orthodoxe Patriarch D._______ in den Fokus der Behörden geriet und schliesslich entmachtet wurde. Diese sich für Priester der orthodoxen Kirche generell zuspitzende Lage hat ihren Niederschlag in entsprechenden Berichten gefunden (vgl. Home Office, Eritrea, country of origin information report vom 18. September 2013 S. 92). Demnach wurde D._______ im Mai 2006 entmachtet und unter Hausarrest gestellt. Diese Feststellungen decken sich - abgesehen von gewissen, aber nicht wesentlichen zeitlichen Abweichungen - mit den Darlegungen des Beschwerdeführers anlässlich der Anhörung. Im Rahmen weiterer staatlicher Massnahmen sollen mehr als 1'700 orthodoxe Geistliche von ihrer Kirche entfernt worden sein. 24 Geistliche seien verhaftet und 7 dazu gezwungen worden, B._______ nicht zu verlassen (vgl. Home Office, Eritrea, country of origin information report vom 18. September 2013 S. 92, und B 9/17 Antwort 59).</w:t>
      </w:r>
    </w:p>
    <w:p>
      <w:r>
        <w:rPr>
          <w:b/>
        </w:rPr>
        <w:t>E. 5.3</w:t>
      </w:r>
    </w:p>
    <w:p>
      <w:r>
        <w:t>Die Vorinstanz geht davon aus, dass der Beschwerdeführer nicht wie angegeben am 21. Oktober 2008 festgenommen und für vier Jahre inhaftiert wurde. Auch wenn er besagte Verhaftung und den Haftalltag in einem gewissen Ausmass zu substanziieren vermochte, sind die Ausführungen namentlich zur Flucht aus dem Gefängnis eher stereotyp ausgefallen. Vor diesem Hintergrund bestehen gewisse Zweifel, ob der Beschwerdeführer vier Jahre lang in Haft war und auf die beschriebene Weise aus der Haft freikam. Die Glaubhaftigkeit der Haftdauer und der Flucht kann aber letztlich offen bleiben, da der Beschwerdeführer insgesamt ernsthafte Schwierigkeiten mit den eritreischen Behörden glaubhaft zu machen vermochte und ein Profil aufweist, das eine Furcht vor weiteren ernsthaften Nachteilen objektiv begründet erscheinen lässt. Die im Entscheid der Ehefrau des Beschwerdeführers vertretene Sichtweise des BFM, die dem Gatten respektive dem Beschwerdeführer auferlegten Sanktionen seien nicht asylrelevant, kann schon insofern nicht nachvollzogen werden, als Massnahmen des eritreischen Geheimdienstes beziehungsweise der Polizeibehörden gemäss gesicherten Erkenntnissen jederzeit eskalieren können. Entsprechend bestanden beim Beschwerdeführer aufgrund seines klerikalen Profils bereits im damaligen Zeitpunkt konkrete Anhaltspunkte im Sinne begründeter Furcht dafür, dass er in absehbarer Zeit - wie im erwähnten Bericht für 17 Geistliche rapportiert - wegen seines religiösen, als regimefeindliches Handeln empfundenen Engagements weitergehenden behördlichen Massnahmen wie insbesondere einer Inhaftierung verbunden mit (zusätzlichen) ernsthaften Nachteilen zielgerichtet ausgesetzt werden würde. Mangels ersichtlicher Verbesserung der Situation vor Ort ist an dieser Einschätzung auch im aktuellen Zeitpunkt festzuhalten, und eine innerstaatliche Fluchtalternative ist beziehungsweise war offensichtlich nicht vorhanden.</w:t>
      </w:r>
    </w:p>
    <w:p>
      <w:r>
        <w:rPr>
          <w:b/>
        </w:rPr>
        <w:t>E. 5.4</w:t>
      </w:r>
    </w:p>
    <w:p>
      <w:r>
        <w:t>Zusammenfassend ergibt sich, dass die Voraussetzungen von Art. 3 und 7 AsylG beim Beschwerdeführer sowohl für den Zeitpunkt der Ausreise wie auch im aktuellen Zeitpunkt erfüllt sind. Den Akten können sodann keine kon­kreten Hin­weise auf das Vorliegen von Asylausschlussgründen entnommen werden. Dem­nach ist das BFM anzuwei­sen, dem Beschwerdeführer Asyl zu gewähren.</w:t>
      </w:r>
    </w:p>
    <w:p>
      <w:r>
        <w:rPr>
          <w:b/>
        </w:rPr>
        <w:t>E. 6.1</w:t>
      </w:r>
    </w:p>
    <w:p>
      <w:r>
        <w:t>Bei diesem Ausgang des Verfahrens sind keine Kosten aufzuerle­gen.</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Da der Beschwerdeführer keine Rechtsvertretung in Anspruch nahm, dürften ihm keine solchen Kosten entstanden sein, weshalb keine 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