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D-7258/2014 vom 14. Januar 2015</w:t>
      </w:r>
    </w:p>
    <w:p>
      <w:r>
        <w:t>Bundesverwaltungsgericht, 2015-01-14, DE</w:t>
      </w:r>
    </w:p>
    <w:p>
      <w:r>
        <w:rPr>
          <w:b/>
        </w:rPr>
        <w:t xml:space="preserve">Quelle: </w:t>
      </w:r>
      <w:r>
        <w:t>https://mcp.opencaselaw.ch/entscheid/bvger_D-7258_2014</w:t>
      </w:r>
    </w:p>
    <w:p>
      <w:r>
        <w:t>FR: TAF D-7258/2014 du 14 janvier 2015</w:t>
      </w:r>
    </w:p>
    <w:p>
      <w:r>
        <w:t>IT: TAF D-7258/2014 del 14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2.1</w:t>
      </w:r>
    </w:p>
    <w:p>
      <w:r>
        <w:t>Parteieingaben in Verfahren vor Bundesbehörden sind in einer Amtssprache - in der Regel Deutsch, Französisch oder Italienisch - abzufassen (Art. 70 Abs. 1 BV und Art. 33a Abs. 1 VwVG). Die Beschwerde ist nicht in einer Amtssprache des Bundes abgefasst. Auf die Ansetzung einer Frist zu Beschwerdeverbesserung kann indessen verzichtet werden, da der in Englisch verfassten Beschwerdeeingabe genügend klare, sinngemässe Rechtsbegehren und deren Begründung zu entnehmen sind und ohne Weiteres darüber befunden werden kann.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 Gestützt auf Art. 33a Abs. 2 VwVG i.V.m. Art. 6 AsylG ergeht der vorliegende Entscheid in deutscher Sprache.</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konnte ein im Ausland gestelltes Asylgesuch ablehnen, wenn die asylsuchende Person keine Verfolgung glaubhaft machen konnte oder ihr die Aufnahme in einem Drittstaat zugemutet werden konnte (Art. 3, Art. 7 und AsylG und aArt. 52 Abs. 2 AsylG). Gemäss aArt. 20 Abs. 2 AsylG bewilligte das Bundesamt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5.3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w:t>
      </w:r>
    </w:p>
    <w:p>
      <w:r>
        <w:t>Ein Asylgesuch konnte gemäss aArt. 19 AsylG im Ausland bei einer schweizerischen Vertretung gestellt werden, die es mit einem Bericht an das Bundesamt zu überweisen hatte (aArt. 20 Abs. 1 AsylG). Hinsichtlich des Verfahrens bei der schweizerischen Vertretung im Ausland sah 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konnte sich erübrigen, wenn der Sachverhalt bereits aufgrund des eingereichten Asylgesuchs als entscheidreif erstellt erschien; der asylsuchenden Person war aber diesfalls im Sinne des rechtlichen Gehörs die Gelegenheit zu geben, sich zu einem abzusehenden negativen Entscheid zumindest schriftlich zu äussern (vgl. BVGE 2007/30 E. 5.7). Vorliegend hat der Beschwerdeführer seine Asylgründe schriftlich dargelegt. Zudem wurde er am (...) 2014 durch die Schweizerische Vertretung in Ankara persönlich befragt. Anlässlich dieser Befragung hatte er insbesondere Gelegenheit, weitere Angaben zu seinen persönlichen Lebensumständen und zur aktuellen Verfolgungssituation zu machen.</w:t>
      </w:r>
    </w:p>
    <w:p>
      <w:r>
        <w:rPr>
          <w:b/>
        </w:rPr>
        <w:t>E. 7.1</w:t>
      </w:r>
    </w:p>
    <w:p>
      <w:r>
        <w:t>Das BFM führte zur Begründung seiner Verfügung im Wesentlichen aus, dem Asylgesuch vom 13. November 2011 und den Schilderungen anlässlich der Befragung vom (...) 2014 seien keine konkret dargelegten Anhaltspunkte dafür zu entnehmen, dass der Beschwerdeführer zum Zeitpunkt der Ausreiseaus seinem Heimatstaat von einreisebeachtlichen Schwierigkeiten gemäss Art. 3 AsylG bedroht gewesen sei oder dass ihm im Irak solche drohen würden. Er habe geltend gemacht, dass er aufgrund seiner Religion sowie Furcht vor Gewalt aus dem Irak ausgereist sei, jedoch keine konkrete Verfolgung geltend gemacht. Deshalb sei davon auszugehen, dass er zum Zeitpunkt der Ausreise nicht Objekt einer konkreten und zielgerichteten Verfolgung gewesen sei. Mithin erfülle er die Flüchtlingseigenschaft nicht. Daher seien in casu die Voraussetzungen für die Erteilung einer Einreisebewilligung nicht gegeben und es erübrige sich, ob einer allfälligen Asylgewährung durch die Schweiz der Ausschlussgrund von aArt. 52 Abs. 2 AsylG entgegenstehe.</w:t>
      </w:r>
    </w:p>
    <w:p>
      <w:r>
        <w:rPr>
          <w:b/>
        </w:rPr>
        <w:t>E. 7.2</w:t>
      </w:r>
    </w:p>
    <w:p>
      <w:r>
        <w:t>Die Beschwerde beschränkt sich auf eine sinngemässe Wiederholung der bisherigen Vorbringen (vgl. Beschwerde).</w:t>
      </w:r>
    </w:p>
    <w:p>
      <w:r>
        <w:rPr>
          <w:b/>
        </w:rPr>
        <w:t>E. 7.3</w:t>
      </w:r>
    </w:p>
    <w:p>
      <w:r>
        <w:t>Die Überprüfung der Akten ergibt, dass das BFM dem Beschwerdeführer zu Recht die Einreise in die Schweiz verweigert und das Asylgesuch abgelehnt hat. Das Bundesverwaltungsgericht schliesst sich der Auffassung des BFM an, wonach der Beschwerdeführer - der sein Asylbegehren von einem Drittstaat aus gestellt hat - zum Zeitpunkt der Ausreise aus dem Heimatstaat (er verliess den Irak im November 2007 in Richtung Syrien, wo er im November 2011 bei der Schweizerischen Vertretung um Asyl nachsuchte, kehrte Anfang 2012 in den Irak zurück und gelangte im November 2012 in die Türkei) im Irak nicht konkret in asylrelevanter Weise gefährdet war. Daraus folgt (unter nochmaligem Verweis auf BVGE 2012/26 E. 7 S. 519 f.), dass dem Beschwerdeführer die Einreise in die Schweiz von vornherein nicht bewilligt werden kann. Bei dieser Konstellation erübrigt sich mithin die Prüfung der Frage der Zumutbarkeit eines Verbleibs im Drittstaat Türkei.</w:t>
      </w:r>
    </w:p>
    <w:p>
      <w:r>
        <w:rPr>
          <w:b/>
        </w:rPr>
        <w:t>E. 7.4</w:t>
      </w:r>
    </w:p>
    <w:p>
      <w:r>
        <w:t>Zusammenfassend ist festzustellen, dass es dem Beschwerdeführer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dem Beschwerdeführer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