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D-7252/2023 vom 9. Januar 2024</w:t>
      </w:r>
    </w:p>
    <w:p>
      <w:r>
        <w:t>Bundesverwaltungsgericht, 2024-01-09, DE</w:t>
      </w:r>
    </w:p>
    <w:p>
      <w:r>
        <w:rPr>
          <w:b/>
        </w:rPr>
        <w:t xml:space="preserve">Quelle: </w:t>
      </w:r>
      <w:r>
        <w:t>https://mcp.opencaselaw.ch/entscheid/bvger_D-7252_2023</w:t>
      </w:r>
    </w:p>
    <w:p>
      <w:r>
        <w:t>FR: TAF D-7252/2023 du 9 janvier 2024</w:t>
      </w:r>
    </w:p>
    <w:p>
      <w:r>
        <w:t>IT: TAF D-7252/2023 del 9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Beschwerdeführung legitimiert (Art. 48 Abs. 1 VwVG).</w:t>
      </w:r>
    </w:p>
    <w:p>
      <w:r>
        <w:rPr>
          <w:b/>
        </w:rPr>
        <w:t>E. 1.4</w:t>
      </w:r>
    </w:p>
    <w:p>
      <w:r>
        <w:t>Die Beschwerde wurde in englischer Sprache und damit nicht in einer Amtssprache des Bundes abgefasst. Auf die Ansetzung einer Frist zur Beschwerdeverbesserung kann aus prozessökonomischen Gründen verzichtet werden, zumal die Beschwerde verständlich ist, so dass ohne Weiteres darüber befunden werden kann (vgl. Art. 52 Abs. 2 VwVG). Die Beschwerde wurde zudem fristgerecht eingereicht (Art. 108 Abs. 3 AsylG). Auf sie ist - unter Vorbehalt von E. 2.2 - einzutreten.</w:t>
      </w:r>
    </w:p>
    <w:p>
      <w:r>
        <w:rPr>
          <w:b/>
        </w:rPr>
        <w:t>E. 1.5</w:t>
      </w:r>
    </w:p>
    <w:p>
      <w:r>
        <w:t>Der Entscheid ergeht in deutscher Sprache (Art. 33a Abs.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Der durch die Parteibegehren definierte Streitgegenstand darf nicht über den Anfechtungsgegenstand hinausreichen. Gegenstand des Beschwerdeverfahrens kann somit nur sein, was Gegenstand der angefochtenen Verfügung war oder nach richtiger Gesetzesauslegung hätte sein sollen. Die Frage eines Transfers in einen französischsprachigen Kanton ist nicht Gegenstand der angefochtenen Verfügung, weshalb auf den entsprechenden Antrag in der Eingabe vom 5. Januar 2024 nicht einzutreten ist.</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Falle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Dublin-III-VO statt (vgl. zum Ganzen BVGE 2019 VI/7 E. 4-6;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5</w:t>
      </w:r>
    </w:p>
    <w:p>
      <w:r>
        <w:t>Ein Abgleich der Fingerabdrücke des Beschwerdeführers mit der "Eurodac"-Datenbank ergab, dass dieser am (...) in den Niederlanden ein Asylgesuch eingereicht hatte. Die niederländischen Behörden stimmten dem Ersuchen des SEM um Wiederaufnahme des Beschwerdeführers am 23. November 2023 gestützt auf Art. 18 Abs. 1 Bst. b Dublin-III-VO zu. Die staatsvertragliche Zuständigkeit der Niederlande ist vor diesem Hintergrund grundsätzlich gegeben; sie wird vom Beschwerdeführer denn auch nicht bestritten.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niederländische Asylsystem keine systemischen Mängel im Sinne von Art. 3 Abs. 2 zweiter Satz Dublin-III-VO aufweist (vgl. statt vieler: Urteil des BVGer F-4718/2023 vom 18. Dezember 2023 E. 6.2).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Es besteht kein konkretes und ernsthaftes Risiko, dass die Überstellung des Beschwerdeführers in die Niederlande die Verletzung völkerrechtlicher Bestimmungen zur Folge hätte. Diesbezüglich kann zur Vermeidung von Wiederholungen vollumfänglich auf die Ausführungen in der angefochtenen Verfügung verwiesen werden (vgl. dort Ziff. II). Namentlich vermag der Beschwerdeführer mit seinen Vorbringen, seine Möglichkeiten zum Erlernen der Sprache sowie zum Arbeiten und Studieren seien in den Niederlanden eingeschränkt, keine völkerrechtlichen Überstellungshindernisse darzutun. Zudem bestehen keine Hinweise darauf, die Niederlande würden den Grundsatz des Non-Refoulements missachten und ihn zur Ausreise in ein Land zwingen, in dem sein Leib, sein Leben oder seine Freiheit aus einem Grund nach Art. 3 Abs. 1 AsylG gefährdet wären oder in dem er Gefahr laufen würde, zur Ausreise in ein solches Land gezwungen zu werden. Entgegen der Auffassung des Beschwerdeführers vermögen daran auch die Wahlergebnisse der kürzlich ergangenen Parlamentswahlen in den Niederlanden nichts zu ändern. Nicht zuletzt kann der Beschwerdeführer im vorliegenden Fall auch aus der Interpellation vom 15. Dezember 2016 und dem Urteil des BVGer E-6725/2015 vom 4. Juni 2018 nichts zu seinen Gunsten ableiten.</w:t>
      </w:r>
    </w:p>
    <w:p>
      <w:r>
        <w:rPr>
          <w:b/>
        </w:rPr>
        <w:t>E. 7.3</w:t>
      </w:r>
    </w:p>
    <w:p>
      <w:r>
        <w:t>Nach dem Gesagten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8</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seine Überstellung in die Niederlande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