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D-7248/2023 vom 4. April 2024</w:t>
      </w:r>
    </w:p>
    <w:p>
      <w:r>
        <w:t>Bundesverwaltungsgericht, 2024-04-04, DE</w:t>
      </w:r>
    </w:p>
    <w:p>
      <w:r>
        <w:rPr>
          <w:b/>
        </w:rPr>
        <w:t xml:space="preserve">Quelle: </w:t>
      </w:r>
      <w:r>
        <w:t>https://mcp.opencaselaw.ch/entscheid/bvger_D-7248_2023</w:t>
      </w:r>
    </w:p>
    <w:p>
      <w:r>
        <w:t>FR: TAF D-7248/2023 du 4 avril 2024</w:t>
      </w:r>
    </w:p>
    <w:p>
      <w:r>
        <w:t>IT: TAF D-7248/2023 del 4 aprile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VwVG). Auf die Beschwerde ist nach dem Gesagten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3.4</w:t>
      </w:r>
    </w:p>
    <w:p>
      <w:r>
        <w:t>Gemäss Art. 16 Abs. 1 Dublin-III-VO entscheidet ein Mitgliedstaat in der Regel, die antragstellende Person nicht von ihren Kindern, Geschwistern oder einem Elternteil zu trennen, wenn sie wegen Schwangerschaft, eines neugeborenen Kindes, schwerer Krankheit, ernsthafter Behinderung oder hohen Alters auf deren Unterstützung angewiesen ist und sich diese rechtmässig in einem Mitgliedstaat aufhalten. Die familiäre Bindung muss bereits im Herkunftsland bestanden haben und die Kinder, Geschwister oder der Elternteil müssen in der Lage sein, die abhängige Person zu unterstützen. Die betroffenen Personen müssen ihren Zusammenführungswunsch schriftlich kundgetan haben. Die Nichtanwendung der Zuständigkeitsbestimmung von Art. 16 Abs. 1 Dublin-III-VO kann im Einzelfall menschenrechtswidrig sein und einen Ermessensmissbrauch darstellen. Sind die Voraussetzungen von Art. 16 Abs. 1 Dublin-III-VO gegeben und halten sich die betroffenen Personen in demselben Mitgliedstaat auf, hat sich die entscheidende Behörde, ausserordentliche Umstände vorbehalten, für zuständig zu erklären (BVGE 2017 VI/5 E. 8.3.3; sowie statt vieler Urteil des BVGer F-1030/2022 und F-1031/2022 vom 12. April 2022 E. 7.2).</w:t>
      </w:r>
    </w:p>
    <w:p>
      <w:r>
        <w:rPr>
          <w:b/>
        </w:rPr>
        <w:t>E. 3.5</w:t>
      </w:r>
    </w:p>
    <w:p>
      <w:r>
        <w:t>Jeder Mitgliedstaat kann zudem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2. November 2023 in Rumänien ein Asylgesuch eingereicht hatte. Das SEM ersuchte deshalb die rumänischen Behörden zu Recht und innert Frist um Wiederaufnahme des Beschwerdeführers. Die rumänischen Behörden stimmten dem Gesuch um Übernahme explizit zu, womit Rumänien grundsätzlich zuständig wurde. Dies blieb auf Beschwerdeebene denn auch unbestritten.</w:t>
      </w:r>
    </w:p>
    <w:p>
      <w:r>
        <w:rPr>
          <w:b/>
        </w:rPr>
        <w:t>E. 4.2</w:t>
      </w:r>
    </w:p>
    <w:p>
      <w:r>
        <w:t>Im Lichte von Art. 3 Abs. 2 Dublin-III-VO ist zu prüfen, ob es wesentliche Gründe für die Annahme gibt, das Asylverfahren und die Aufnahmebedingungen für Asylsuchende in Rumänien würden systemische Schwachstellen aufweisen, die eine Gefahr einer unmenschlichen oder entwürdigenden Behandlung im Sinne des Artikels 4 der EU-Grundrechtecharta mit sich bringen würden.</w:t>
      </w:r>
    </w:p>
    <w:p>
      <w:r>
        <w:rPr>
          <w:b/>
        </w:rPr>
        <w:t>E. 4.2.1</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grundsätzlich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Der Beschwerdeführer macht in dieser Hinsicht geltend, in Rumänien drohe ihm Obdachlosigkeit und es sei angesichts der dortigen Verhältnisse nicht möglich seine elementarsten Bedürfnisse zu befriedigen, da allen Dublin-Rückkehrenden nach Rumänien nach dem neuesten Bericht der Asylum Information Database AIDA für das Jahr 2022 vom Mai 2023 (verfügbar unter: https://asylumineurope.org/wp-content/uploads/2023/05/ AIDA-RO_2022-Update.pdf) der Entzug der materiellen Unterstützung drohen würde. Von dieser Situation seien im Jahr 2022 76.5 % der asylsuchenden Personen betroffen gewesen, während in den Vorjahren nie mehr als 25 % der asylsuchenden Personen betroffen gewesen seien. Die gegen den Entzug der Aufnahmebedingungen vorgesehene Beschwerdemöglichkeit stelle kein effektives Rechtsmittel dar, da solche Beschwerden in der Praxis nicht erhoben würden. Darüber hinaus dürften Asylsuchende in Rumänien in den ersten drei Monaten nicht arbeiten und nach einer Abwesenheit von mehr als neun Monaten drohe eine Behandlung des Asylgesuchs als Mehrfachgesuch. Angesichts dessen sei auch zu bemängeln, dass die Vorinstanz weder individuelle Garantien eingeholt noch die Lage in Rumänien rechtsgenüglich abgeklärt habe. Des Weiteren seien durch einen aktuellen Bericht der NGO klikAktiv vier Fälle bekannt, in denen die rumänischen Behörden auch Dublin-Rückkehrende ohne Zugang zum Asylverfahren nach Serbien ausschaffe, wo sie ebenfalls keinen Asylverfahrenszugang hätten.</w:t>
      </w:r>
    </w:p>
    <w:p>
      <w:r>
        <w:rPr>
          <w:b/>
        </w:rPr>
        <w:t>E. 4.2.3</w:t>
      </w:r>
    </w:p>
    <w:p>
      <w:r>
        <w:t>In seiner Vernehmlassung verweist das SEM darauf, dass die rumänischen Behörden explizit der Wiederaufnahme zur Durchführung des Asylverfahrens zugestimmt hätten, weswegen keine Anhaltspunkte bestünden, dem Beschwerdeführer könnte ein solcher Zugang unter Umgehung der Regeln der Verfahrensrichtlinie und des Refoulement-Verbots verweigert werden. Ebensowenig bestünden nach Rechtsprechung und Praxis anderweitige systemische Mängel des Asyl- und Aufnahmesystems, insbesondere habe der Beschwerdeführer nicht dartun können, der Zugang zu Aufnahmebedingungen sei nicht gewährleistet beziehungsweise nicht durch ein entsprechendes Einfordern in Rumänien zu sichern.</w:t>
      </w:r>
    </w:p>
    <w:p>
      <w:r>
        <w:rPr>
          <w:b/>
        </w:rPr>
        <w:t>E. 4.2.4</w:t>
      </w:r>
    </w:p>
    <w:p>
      <w:r>
        <w:t>Das Bundesverwaltungsgericht - wie auch der Europäische Gerichtshof für Menschenrechte (EGMR) - verneint das Vorliegen wesentlicher Gründe für die Annahme, dass das Asylverfahren und die Aufnahmebedingungen für asylsuchende Personen in Rumänien systemische Mängel im Sinne von Art. 3 Abs. 2 Dublin-III-VO hätten, die eine Gefahr einer unmenschlichen oder entwürdigenden Behandlung im Sinne des Art. 4 der EU-Grundrechtecharta mit sich bringen würden. Das Bundesverwaltungs-gericht anerkennt in diesem Kontext zwar, dass die Situation von Asylsuchenden in Rumänien schwierig sein kann, geht aber davon aus, Rumänien sei grundsätzlich gewillt und fähig, Schutzberechtigten die ihnen zustehenden Rechte zu gewähren, beziehungsweise dass diese Ansprüche bei Bedarf auf dem Rechtsweg durchgesetzt werden könnten. Entsprechend geht es nicht von systemischen Schwachstellen im Asylverfahren und in den Aufnahmebedingungen für Antragstellende in Rumänien im Sinne von Art. 3 Abs. 2 Sätze 2 und 3 Dublin-III-VO aus (vgl. unter vielen: Urteile des BVGer E-4022/2023 vom 17. Januar 2024 E. 4.3; F-6786/2023 vom 13. Dezember 2023, S. 6; D-2688/2023 vom 8. Juni 2023 E. 7 jeweils m.w.H.). Für eine Änderung der Rechtsprechung besteht auch in Würdigung der Angaben des Beschwerdeführers sowie des vom Beschwerdeführer zitierten Updates des AIDA-Berichtes für das Jahr 2022 zur Situation Asylsuchender in Rumänien keine Veranlassung. Insbesondere belegt der genannte AIDA-Bericht vom Mai 2023 keine systematische Verweigerung des Zugangs zu Aufnahmebedingungen und Asylverfahren seitens der rumänischen Behörden und es sind keine individuellen Gründe ersichtlich, aus denen sich im vorliegenden Fall eine solche Zugangsverweigerung ergeben würde. Der Beschwerdeführer hat somit kein konkretes und ernsthaftes Risiko dargetan, die rumänischen Behörden würden sich weigern, ihn wieder aufzunehmen und seinen Antrag auf internationalen Schutz unter Einhaltung der Regeln der Verfahrensrichtlinie zu prüfen. Auch den Akten sind keine Gründe für die Annahme zu entnehmen, Rumänien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auch keine konkreten Hinweise für die Annahme dargetan, Rumänien würde ihm dauerhaft die ihm gemäss Aufnahmerichtlinie zustehenden minimalen Lebensbedingungen vorenthalten. Bei einer allfälligen vorübergehenden Einschränkung könnte er sich im Übrigen nötigenfalls an die rumänischen Behörden wenden und die ihm zustehenden Aufnahmebedingungen auf dem Rechtsweg einfordern (vgl. Art. 26 Aufnahmerichtlinie).</w:t>
      </w:r>
    </w:p>
    <w:p>
      <w:r>
        <w:rPr>
          <w:b/>
        </w:rPr>
        <w:t>E. 4.2.5</w:t>
      </w:r>
    </w:p>
    <w:p>
      <w:r>
        <w:t>Unter diesen Umständen ist die Anwendung von Art. 3 Abs. 2 Dublin-III-VO nicht gerechtfertigt.</w:t>
      </w:r>
    </w:p>
    <w:p>
      <w:r>
        <w:rPr>
          <w:b/>
        </w:rPr>
        <w:t>E. 4.3.1</w:t>
      </w:r>
    </w:p>
    <w:p>
      <w:r>
        <w:t>Der Beschwerdeführer fordert die Anwendung von Art. 16 Dublin-III-VO sowie der Ermessensklausel von Art. 17 Dublin-III-VO respektive der - das Selbsteintrittsrecht im Landesrecht konkretisierenden - Bestimmung von Art. 29a Abs. 3 der Asylverordnung 1 vom 11. August 1999 (AsylV 1, SR 142.311). Er beruft sich dabei in der Beschwerdeschrift im Wesentlichen auf ein Abhängigkeitsverhältnis zu seinem in der Schweiz lebenden Bruder C._______ sowie die Anwesenheit von zwei weiteren Brüdern, die ihm gut tue. Er leide an einer schweren posttraumatischen Belastungsstörung (PTBS) und sei auf die medikamentöse und seelische Unterstützung seiner Brüder angewiesen, um den Alltag zu bewältigen und den Lebenswillen zu erhalten. Eventualiter rügt er in diesem Zusammenhang eine Verletzung seines Anspruches auf rechtliches Gehör sowie eine Verletzung des Untersuchungsgrundsatzes durch die Vorinstanz, da diese es unterlassen habe, trotz der vorliegenden Diagnose, weitere Abklärungen zum Schweregrad der PTBS vorzunehmen und die damit einhergehenden rechtlichen Implikationen festzustellen.</w:t>
      </w:r>
    </w:p>
    <w:p>
      <w:r>
        <w:rPr>
          <w:b/>
        </w:rPr>
        <w:t>E. 4.3.2</w:t>
      </w:r>
    </w:p>
    <w:p>
      <w:r>
        <w:t>Im angefochtenen Entscheid sowie in ihrer Vernehmlassung hält die Vorinstanz fest, die gesundheitliche Verfassung des Beschwerdeführers sei nicht derart gravierend, dass eine auf unbestimmte Zeit erforderliche und durchgehende Betreuung durch seine in der Schweiz lebenden Angehörigen unerlässlich erscheine, weshalb das geschilderte enge Verhältnis zu seinen Brüdern kein Abhängigkeitsverhältnis im Sinne des Art. 16 Dublin-III-VO begründe. Nicht zuletzt angesichts der langen Trennung der Geschwister sei davon auszugehen, eine Behandlung der PTBS werde auch ohne Beistand der Brüder in absehbarer Zeit zu einer hinreichenden Verbesserung des Gesundheitszustandes führen, insbesondere sei die blosse Suche nach emotionaler Unterstützung für sich genommen kein entscheidendes Element, um ein Abhängigkeitsverhältnis zu begründen. In Würdigung sämtlicher Umstände würden auch keine Gründe vorliegen, die zum Selbsteintritt zu führen vermöchten.</w:t>
      </w:r>
    </w:p>
    <w:p>
      <w:r>
        <w:rPr>
          <w:b/>
        </w:rPr>
        <w:t>E. 4.3.3</w:t>
      </w:r>
    </w:p>
    <w:p>
      <w:r>
        <w:t>In ihrer Replik macht die Rechtsvertreterin des Beschwerdeführers erstmals geltend, das Abhängigkeitsverhältnis des Beschwerdeführers bestünde nicht zu seinem Halbbruder C._______ sondern zu seinem leiblichen Bruder D._______, bei dem er auch lebe. Er sei vollständig auf diesen angewiesen und werde bereits panisch, wenn dieser zur Arbeit gehe, weshalb D._______ den Beschwerdeführer regelmässig mit zur Arbeit nehme. Längere Abwesenheiten des Bruders führten zu dekompensierenden Panikattacken oder zum Abrutschen in eine dissoziative Phase, in der der Beschwerdeführer über Stunden nicht mehr ansprechbar sei. Die durch das Beobachten des Verbrennens seines Bruders nach einem türkischen Drohnenangriff im Irak ausgelöste PTBS habe sich im Irak ständig verschlimmert und habe auf der Flucht zu zusätzlichen gesundheitlichen Problemen und einer Situation nahe am Zusammenbruch geführt. Erst in der Schweiz habe er wieder zur Ruhe finden können. Nach Aussage seines Bruders D._______ sei der Beschwerdeführer erschreckend ruhig und könne ausschliesslich mit seinen Geschwistern über seine Erlebnisse und Emotionen sprechen. Im Gespräch mit der Rechtsvertreterin habe er suizidale Absichten für den Fall einer Ausschaffung nach Rumänien geäussert, von denen er sich auch nicht distanziert habe. Er reichte zum Beleg des Bestehens der PTBS einen Arztbericht aus dem Irak aus dem Jahr 2021 ein, dem auch die medikamentöse Behandlung mit Esipram (Escitalopram) 20mg zu entnehmen ist. Eine Psychotherapie in der Schweiz ziehe er deshalb nicht in Betracht, weil er mit der Medikation im Schlaf unterstützt sei und über die traumatisierenden Ereignisse nur mit seinen Brüdern sprechen könne.</w:t>
      </w:r>
    </w:p>
    <w:p>
      <w:r>
        <w:rPr>
          <w:b/>
        </w:rPr>
        <w:t>E. 4.4</w:t>
      </w:r>
    </w:p>
    <w:p>
      <w:r>
        <w:t>Weder dem mit der Replik zu den Akten gereichten Arztbericht aus dem Irak aus dem Jahr 2021 noch der medizinischen Dokumentation in den vor-instanzlichen Akten lassen sich Anhaltspunkte für eine derart ernste medizinische Situation entnehmen, wie sie die Rechtsvertreterin in der Replik ohne weitere Belege schildert. Vielmehr verweist die Vorinstanz zurecht darauf, dass der Beschwerdeführer weder im erstinstanzlichen Verfahren noch in der Beschwerde gesundheitliche Beschwerden geltend gemacht hat, die im Sinne der Praxis auf eine Abhängigkeit zu den Brüdern hinweisen würden. Die Vorinstanz war daher nicht gehalten weitere Abklärungen vorzunehmen. Der Beschwerdeführer führt denn auch selber in seiner Replik aus, dass er keiner Psychotherapie bedarf. Ebenfalls verwies das SEM zu Recht darauf, dass die Brüder den Irak bereits Jahre zuvor verlassen haben. Die geschilderten familiären Verhältnisse erfüllen die strengen Voraussetzungen für die verpflichtende Anwendung von Art. 16 Dublin-III-VO nicht (vgl. dazu BVGE 2017 VI/5). Daran vermag auch nichts zu ändern, dass der Beschwerdeführer aktuell bei einem der Brüder lebt und ihm diese Nähe und die Gespräche mit diesem gut tun. Das SEM hat zurecht kein Abhängigkeitsverhältnis im Sinne des Art. 16 Dublin-III-VO festgestellt.</w:t>
      </w:r>
    </w:p>
    <w:p>
      <w:r>
        <w:rPr>
          <w:b/>
        </w:rPr>
        <w:t>E. 4.5.1</w:t>
      </w:r>
    </w:p>
    <w:p>
      <w:r>
        <w:t>Die Rechtsvertreterin des Beschwerdeführers fordert - unabhängig von den Vorbringen zu Art. 16 Dublin-III-VO - aufgrund seiner PTBS, der drohenden Verschlechterung seines Gesundheitszustandes und des mängelbehafteten und derzeit überlasteten Asylsystems in Rumänien die Anwendung der Ermessensklausel von Art. 17 Abs. 1 Dublin-III-VO, respektive der - das Selbsteintrittsrecht im Landesrecht konkretisierenden - Bestimmung von Art. 29a Abs. 3 AsylV 1, gemäss welcher das SEM das Asylgesuch "aus humanitären Gründen" auch dann behandeln kann, wenn dafür gemäss Dublin-III-VO ein anderer Staat zuständig wäre.</w:t>
      </w:r>
    </w:p>
    <w:p>
      <w:r>
        <w:rPr>
          <w:b/>
        </w:rPr>
        <w:t>E. 4.5.2</w:t>
      </w:r>
    </w:p>
    <w:p>
      <w:r>
        <w:t>In dieser Hinsicht beruft sich der Beschwerdeführer darauf, sein Gesundheitszustand stehe einer Überstellung entgegen, da eine Überstellung nach Rumänien schweres Leiden und eine erhebliche Verkürzung seiner Lebenserwartung zur Folge haben würde. Insbesondere würde durch eine allfällige Überstellung die medizinische Behandlung unterbrochen. Darüber hinaus sei auch die psychologische Betreuung in Rumänien mangelhaft. Das SEM habe sich nicht ausreichend mit dieser Situation auseinandergesetzt und zwar sowohl in genereller Hinsicht mit Blick auf das rumänische System als auch im Hinblick auf den Beschwerdeführer individuell. Damit macht der Beschwerdeführer geltend, die Überstellung nach Rumänien setze ihn einer Gefahr für seine Gesundheit aus und verletze Art. 3 EMRK.</w:t>
      </w:r>
    </w:p>
    <w:p>
      <w:r>
        <w:rPr>
          <w:b/>
        </w:rPr>
        <w:t>E. 4.5.3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4.5.4</w:t>
      </w:r>
    </w:p>
    <w:p>
      <w:r>
        <w:t>Eine solche Situation ist vorliegend nicht gegeben. Der Beschwerdeführer macht nicht geltend, dass er nicht reisefähig sei, und bringt neben der allgemeinen Situation in Rumänien keine weiteren Belege für die behauptete ernsthafte Gesundheitsgefährdung im Falle einer Überstellung vor. Sein Gesundheitszustand vermag eine Unzulässigkeit im Sinne der geschilderten Rechtsprechung nicht zu rechtfertigen. Die gesundheitlichen Probleme sind auch nicht von einer derartigen Schwere, dass aus humanitären Gründen von einer Überstellung abgesehen werden müsste. Angesichts der Aktenlage war das SEM auch nicht verpflichtet weitere Abklärungen in dieser Hinsicht vorzunehmen.</w:t>
      </w:r>
    </w:p>
    <w:p>
      <w:r>
        <w:rPr>
          <w:b/>
        </w:rPr>
        <w:t>E. 4.5.5</w:t>
      </w:r>
    </w:p>
    <w:p>
      <w:r>
        <w:t>Im Übrigen ist allgemein bekannt, dass Rumänien über eine medizinische Infrastruktur verfügt, die die Behandlung einer PTBS ermöglicht. Die Mitgliedstaaten sind verpflichtet,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liegen keine Hinweise vor, wonach Rumänien dem Beschwerdeführer eine adäquate medizinische Behandlung verweigern würde. Den Akten ist zu entnehmen, dass die schweizerischen Behörden, die mit dem Vollzug der angefochten Verfügung beauftragt sind, den medizinischen Umständen bei der Bestimmung der konkreten Modalitäten der Überstellung des Beschwerdeführers Rechnung tragen und die rumänischen Behörden vorgängig in geeigneter Weise über die spezifischen medizinischen Umstände informieren werden (vgl. Art. 31 f. Dublin-III-VO).</w:t>
      </w:r>
    </w:p>
    <w:p>
      <w:r>
        <w:rPr>
          <w:b/>
        </w:rPr>
        <w:t>E. 4.5.6</w:t>
      </w:r>
    </w:p>
    <w:p>
      <w:r>
        <w:t>Soweit der Beschwerdeführer sinngemäss das Vorliegen von weiteren "humanitären Gründen" geltend macht, ist Folgendes festzuhalten: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4.5.7</w:t>
      </w:r>
    </w:p>
    <w:p>
      <w:r>
        <w:t>Nach dem Gesagten besteht kein Grund für eine Anwendung der Ermessensklauseln von Art. 17 Dublin-III-VO.</w:t>
      </w:r>
    </w:p>
    <w:p>
      <w:r>
        <w:rPr>
          <w:b/>
        </w:rPr>
        <w:t>E. 4.6</w:t>
      </w:r>
    </w:p>
    <w:p>
      <w:r>
        <w:t>Somit bleibt Rumänien der für die Behandlung der Asylgesuche des Beschwerdeführers zuständige Mitgliedstaat gemäss Dublin-III-VO.</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Rumänien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 Das Beschwerdeverfahren ist mit vorliegendem Urteil abgeschlossen, womit auch die mit Zwischenverfügung vom 4. Januar 2024 gewährte aufschiebende Wirkung gegenstandslos wird.</w:t>
      </w:r>
    </w:p>
    <w:p>
      <w:r>
        <w:rPr>
          <w:b/>
        </w:rPr>
        <w:t>E. 8</w:t>
      </w:r>
    </w:p>
    <w:p>
      <w:r>
        <w:t>Bei diesem Ausgang des Verfahrens wären die Kosten grundsätzlich dem Beschwerdeführer aufzuerlegen (Art. 63 Abs. 1 VwVG). Nachdem aber mit Zwischenverfügung vom 4. Januar 2024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