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D-723/2016 vom 18. Mai 2017</w:t>
      </w:r>
    </w:p>
    <w:p>
      <w:r>
        <w:t>Bundesverwaltungsgericht, 2017-05-18, DE</w:t>
      </w:r>
    </w:p>
    <w:p>
      <w:r>
        <w:rPr>
          <w:b/>
        </w:rPr>
        <w:t xml:space="preserve">Quelle: </w:t>
      </w:r>
      <w:r>
        <w:t>https://mcp.opencaselaw.ch/entscheid/bvger_D-723_2016</w:t>
      </w:r>
    </w:p>
    <w:p>
      <w:r>
        <w:t>FR: TAF D-723/2016 du 18 mai 2017</w:t>
      </w:r>
    </w:p>
    <w:p>
      <w:r>
        <w:t>IT: TAF D-723/2016 del 18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sowohl die Asylvorbringen betreffend die Einberufung in den Militärdienst als auch die Ausführungen des Beschwerdeführers in Bezug auf seine Ausreise nicht für glaubhaft. Es bezweifelte, dass der Beschwerdeführer angesichts seiner gesundheitlichen Einschränkungen überhaupt militärdiensttauglich sei. Bei dieser Ausgangslage sei es fraglich, ob der Beschwerdeführer tatsächlich auf eine derart eindringliche Art und Weise von den Militärs gesucht worden sei, wie er es behauptet habe. Neben diesen grundsätzlichen Zweifeln führte das SEM aus, der Beschwerdeführer hätte zu den Umständen seiner Einberufung in den Militärdienst nur sehr unkonkrete Auskünfte gegeben und immer wieder darauf verwiesen, die Soldaten hätten ihn aufgesucht. Zum Ablauf, wie er die schriftliche Aufforderung für den Eintritt ins Militär erhalten haben wolle, habe er nicht viel zu sagen gewusst. Er habe auch nichts über den Inhalt des Einberufungsbriefes aussagen können. Auf entsprechenden Vorhalt habe er sich auf seine gesundheitliche Situation berufen. Insgesamt seien die Ausführungen betreffend die Besuche der Militärs beim Beschwerdeführer und sein Sich-Versteckthalten auch voller Widersprüche. Die Vorinstanz glaubte dem Beschwerdeführer deshalb nicht, dass man ihn in den Militärdienst habe einziehen wollen. Des Weiteren wurde dem Beschwerdeführer vorgehalten, dass auch seine Ausführungen betreffend die Ausreise aus Eritrea in den Sudan nicht glaubhaft gewesen seien. Insbesondere weil er auf sein [gesundheitliches Problem] hingewiesen habe, sei es nicht nachvollziehbar, warum er behauptet habe, in einer 24-stündigen Fahrt ohne jede Pause in den Sudan gefahren zu sein. Er habe zudem die Umstände seine Reise nicht beschreiben können. Seine Schilderung habe keinerlei Realkennzeichnen aufgewiesen. Das Argument, er habe versteckt im Wagen gelegen und deshalb nichts mitbekommen, sei als Schutzbehauptung zu werten. Auch im Rahmen der Vernehmlassung hielt das SEM an seinen Ausführungen fest.</w:t>
      </w:r>
    </w:p>
    <w:p>
      <w:r>
        <w:rPr>
          <w:b/>
        </w:rPr>
        <w:t>E. 4.2</w:t>
      </w:r>
    </w:p>
    <w:p>
      <w:r>
        <w:t>In der Beschwerde führte der Beschwerdeführer aus, er leide noch immer unter den Folgen der Explosion einer Handgranate. Er habe Granatsplitter im Körper, sei auf einem Auge blind und leide unter [Krankheit]. Gleich nach dem Unfall sei er operiert worden. Nach dem Tod der Eltern sei er bei der Grossmutter väterlicherseits aufgewachsen, nach deren Tod habe sich sein älterer Bruder um ihn gekümmert. Aufgrund gesundheitlicher Probleme habe er die Schule im Juni 2013 abgebrochen, mit dem Plan, die Ausbildung später wieder aufzunehmen. Sein gesundheitlicher Zustand habe sich aber nicht verbessert. Er habe - nachdem er bereits 18 Jahre alt gewesen sei - auch nicht mehr an die Schule zurückkehren können. Mittels eine Briefes, den er von der Dorfverwaltung erhalten habe, habe man ihn zum Militärdienst rekrutiert. Innerhalb von drei Tagen hätte er sich melden müssen. Er sei bei der Dorfverwaltung vorstellig geworden und habe vorgebracht, er könne wegen seines schlechten Gesundheitszustandes nicht zum Militär. Die Behörden hätten ihn aber nicht für untauglich befunden. Drei Tage später seien vielmehr bewaffnete Soldaten zu ihm nach Hause gekommen. Er habe sie jedoch kommen sehen und sich rechtzeitig verstecken können. Danach habe er sich für fast einen Monat die meiste Zeit im Wald aufgehalten und sei nur zwischendurch kurz nach Hause gegangen, um etwas zu Essen zu holen. Da er keinen Ausweg gesehen habe, habe er das Land verlassen wollen. Zunächst sei er mit dem Bus nach D._______ gefahren und habe dort einen Schlepper gesucht, den Kontakt habe ein Cousin väterlicherseits vermittelt. Er sei im Auto des Schleppers, einem Landcruiser, der mit Planen abgedeckt war, versteckt gereist. Mit ihm seien noch drei weitere, ihm unbekannte Personen im Auto gewesen. Man sei zunächst nach E._______ nahe der Grenze zu Eritrea gefahren. Dort habe man das Auto gewechselt und ein zweiter Fahrer habe sie nach Khartoum gebracht. Man habe jeweils im Auto gegessen und getrunken und nur kurze Pausen von wenigen Minuten gemacht. Wegen seiner [Krankheit] habe er zum Urinieren ein zusätzliches Gefäss erhalten. Da das Auto abgedunkelt gewesen sei, habe er vom Reiseweg nichts mitbekommen. Der Beschwerdeführer führt aus, er habe sein Asylvorbringen konsistent, wahrheitsgetreu und genügend detailliert vorgetragen. Zur Vorladung führte er aus, er stamme aus einem kleinen Dorf mit einfachen Strukturen. Eine schlichte Aufforderung, sich zum Dienst zu melden, werde dort als völlig ausreichend erachtet. Des Weiteren könne er zu den Besuchen der Militärs bei ihm zu Hause deshalb wenig sagen, da er sich sofort versteckt habe und sich auch weiterhin versteckt gehalten habe. Wenn die Soldaten nach ihm gesucht hätten, seien nur die jüngeren Geschwister im Haus gewesen. Es sei nicht richtig, seine Angaben als unglaubhaft zu bezeichnen.</w:t>
      </w:r>
    </w:p>
    <w:p>
      <w:r>
        <w:rPr>
          <w:b/>
        </w:rPr>
        <w:t>E. 4.3</w:t>
      </w:r>
    </w:p>
    <w:p>
      <w:r>
        <w:t>Auch das Bundesverwaltungsgericht hält die Vorbringen des Beschwerdeführers betreffend das Aufgebot für den Militärdienst und die damit zusammenhängende Suchaktion des Militärs nach ihm an seinem Wohnort nicht für glaubhaft gemacht. Diesbezüglich ist auf die zutreffenden Ausführungen im angefochtenen Entscheid zu verweisen. Obwohl die Einberufung in der Anhörung vom 24. September 2015 vertieft thematisiert wurde und von der sachbearbeitenden Person immer wieder nachgefragt wurde, sind die Aussagen des Beschwerdeführers sehr knapp und wenig detailliert ausgefallen. Auch die Vorbringen in der Beschwerde vermögen diese Einschätzung nicht zu entkräften, da auch hier die Angaben kaum detaillierter sind. Auch die von der Vorinstanz geäusserten Zweifel, ob der Beschwerdeführer angesichts seiner körperlichen Beeinträchtigungen überhaupt diensttauglich gewesen sei, haben ihre Berechtigung. Insgesamt kann dem Beschwerdeführer daher nicht geglaubt werden, dass er in Eritrea tatsächlich zum Militärdienst aufgeboten worden war und sich diesem durch Flucht habe entziehen können.</w:t>
      </w:r>
    </w:p>
    <w:p>
      <w:r>
        <w:rPr>
          <w:b/>
        </w:rPr>
        <w:t>E. 4.4.1</w:t>
      </w:r>
    </w:p>
    <w:p>
      <w:r>
        <w:t>Im seinem Referenzurteil D-7898/2015 vom 30. Januar 2017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Urteil des Bundesverwaltungsgerichts D-7898/2015 vom 30. Januar 2017 E. 5 [als Referenzurteil publiziert]).</w:t>
      </w:r>
    </w:p>
    <w:p>
      <w:r>
        <w:rPr>
          <w:b/>
        </w:rPr>
        <w:t>E. 4.4.2</w:t>
      </w:r>
    </w:p>
    <w:p>
      <w:r>
        <w:t>Angesichts dieser Rechtsprechung kann auf eine eingehende Glaubhaftigkeitsbeurteilung der illegalen Ausreise des Beschwerdeführers verzichtet werden. Sein Fall liefert - wie unter E. 4.3 erörtert - keine zusätzlichen Anhaltspunkte, welche ihn in den Augen der eritreischen Behörden als missliebige Person erscheinen lassen und dadurch zu einer flüchtlingsrechtlich relevanten Verfolgungsgefahr führen könnten. In der Beschwerde wurde dieser Einschätzung der Vorinstanz auch nichts entgegengehalten. Da eine illegale Ausreise allein keine Furcht vor einer zukünftigen asylrelevanten Verfolgung zu begründen vermag, kann die Frage der Glaubhaftigkeit der illegalen Ausreise daher offenbleiben.</w:t>
      </w:r>
    </w:p>
    <w:p>
      <w:r>
        <w:rPr>
          <w:b/>
        </w:rPr>
        <w:t>E. 5</w:t>
      </w:r>
    </w:p>
    <w:p>
      <w:r>
        <w:t>Zusammenfassend ergibt sich, dass keine asylrechtlich relevanten Verfolgungsgründe ersichtlich sind, weshalb die Vorinstanz zu Recht die Flüchtlingseigenschaft verneint und das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7.2</w:t>
      </w:r>
    </w:p>
    <w:p>
      <w:r>
        <w:t>Die von der Vorinstanz wegen Unzumutbarkeit des Vollzugs verfügte vorläufige Aufnahme bleibt davon jedoch unberührt.</w:t>
      </w:r>
    </w:p>
    <w:p>
      <w:r>
        <w:rPr>
          <w:b/>
        </w:rPr>
        <w:t>E. 8.1</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9. Februar 2016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