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D-7225/2010 vom 14. Februar 2011</w:t>
      </w:r>
    </w:p>
    <w:p>
      <w:r>
        <w:t>Bundesverwaltungsgericht, 2011-02-14, DE</w:t>
      </w:r>
    </w:p>
    <w:p>
      <w:r>
        <w:rPr>
          <w:b/>
        </w:rPr>
        <w:t xml:space="preserve">Quelle: </w:t>
      </w:r>
      <w:r>
        <w:t>https://mcp.opencaselaw.ch/entscheid/bvger_D-7225_2010</w:t>
      </w:r>
    </w:p>
    <w:p>
      <w:r>
        <w:t>FR: TAF D-7225/2010 du 14 février 2011</w:t>
      </w:r>
    </w:p>
    <w:p>
      <w:r>
        <w:t>IT: TAF D-7225/2010 del 14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Art. 18 AsylG definiert, dass jede Äusserung, mit der eine Person zu erkennen gibt, dass sie die Schweiz um Schutz vor Verfolgung nachsucht, als Asylgesuch zu gelten hat, muss aufgrund der Aktenlage davon ausgegangen werden, dass die Beschwerdeführerin um Beurteilung ihrer Verfolgungssituation in Eritrea ersucht. Der Umstand, dass das betreffende Gesuch nicht bei einer schweizeri­schen Vertretung, sondern direkt beim BFM eingereicht wurde, ist nicht massgebend (vgl. für die in dieser Hinsicht weiterhin Geltung be­anspruchende Praxis der Schweizerischen Asylrekurskommission [ARK] die Feststellungen in Entscheidungen und Mitteilungen der ARK [EMARK] 1997 Nr. 15 E. 2b S. 129, die sich zwar auf den damaligen Art. 13a AsylG beziehen, jedoch auch nach geltendem Asylgesetz weiterhin massgeblich bleiben). Dementsprechend wurde die Eingabe der Mutter der Beschwerdeführerin vom 14. Juni 2010 als Asylgesuch aus dem Ausland entgegengenommen.</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dazu schriftlich zu äussern (vgl. BVGE a.a.O. E. 5.7). Schliesslich ist das Bundesamt in jedem Fall gehalten, das Absehen von einer Befragung in der Verfügung über das Asylgesuch zu begründen (vgl. BVGE a.a.O. E. 5.6 sowie 5.7).</w:t>
      </w:r>
    </w:p>
    <w:p>
      <w:r>
        <w:rPr>
          <w:b/>
        </w:rPr>
        <w:t>E. 4.2</w:t>
      </w:r>
    </w:p>
    <w:p>
      <w:r>
        <w:t>In der Beschwerde wird eine Verletzung des Anspruchs auf rechtliches Gehör in mehrerlei Hinsicht geltend gemacht, indem die Beschwerdeführerin nicht selber schriftlich zu ihren Asylgründen befragt und ohne hinreichende Begründung keine persönliche Befragung durchgeführt worden sei; zudem habe sie sich auch zum bevorstehenden ablehnenden Entscheid nicht vernehmen lassen können (vgl. Beschwerde, S. 3 f.). Im vorliegenden Fall wurde die Beschwerdeführerin von der Schweizer Botschaft in E._______ zu ihrem am 14. Juni 2010 eingegangenen Asylgesuch nicht befragt, da die Botschaft dazu gemäss ihrem Schreiben betreffend Befragungen von eritreischen Asylsuchenden vom 23. März 2010 an das Bundesamt aus sicherheitstechnischen, strukturellen (baulichen) und kapazitätsmässigen Gründen (starke Zunahme des Arbeitsvolumens im konsularischen Bereich, wobei Gesuche um Erhöhung des Personalbestands nicht bewilligt worden seien) nicht in der Lage ist. Das Bundesverwaltungsgericht teilt die von der Vorinstanz in ihrer Vernehmlassung vom 14. Dezember 2010 geäusserte Einschätzung, wonach damit der Verzicht auf eine persönliche Anhörung der Beschwerdeführerin sachlich begründet und überzeugend erscheint. Mithin vermag die Beschwerdeführerin aus ihrem Hinweis in der Beschwerde auf ein Urteil des Bundesverwaltungsgerichts vom 7. Juli 2009, mit welchem eine Verfügung des BFM wegen der fehlenden persönlichen Befragung einer asylsuchenden Person durch die Schweizer Botschaft in E._______ aufgehoben wurde, nichts zu ihren Gunsten abzuleiten. Sodann wurde der Beschwerdeführerin beziehungsweise ihrer Mutter vom erwähnten Schreiben der Schweizer Botschaft in E._______ durch das BFM Kenntnis gegeben. Schliesslich erweist sich auch der Einwand in der Beschwerde, wonach die Beschwerdeführerin nicht selber schriftlich zu ihren Asylgründen befragt worden sei, als unbegründet, zumal diese ihre Mutter mit schriftlicher Vollmacht vom 30. Mai 2010 mit der Vertretung in ihrem Asylverfahren beauftragt hatte. Angesichts dieses zwischen der Beschwerdeführerin und ihrer Mutter bestehenden Innenverhältnisses konnte das Bundesamt davon ausgehen, dass diese mit der Ersteren in Kontakt steht und zur Beantwortung der Fragen des BFM, allenfalls nach Rücksprache mit der Beschwerdeführerin, legitimiert ist. Die im entsprechenden Schreiben des Bundesamts vom 29. Juni 2010 enthaltenen Fragestellungen decken sämtliche für die Beurteilung des Asylgesuches aus dem Ausland notwendigen Aspekte ab, namentlich den Aufenthalt in Eritrea, Familienangehörige/Verwandte in Drittstaaten, Ereignisse, die zur Ausreise aus Eritrea führten und Aufenthalt im Sudan. Sie wurden denn auch von der Mutter der Beschwerdeführerin, unter Beizug von Q._______, ausführlich beantwortet, wobei dem Antwortschreiben vom 20. August 2010 zudem ein persönliches Schreiben der Beschwerdeführerin beigelegt war. Schliesslich verzichtete das BFM unter diesen Umständen zu Recht darauf, der Beschwerdeführerin die Möglichkeit zur Stellungnahme zum bevorstehenden ablehnenden Entscheid zu gewähren (vgl. E. 4.1.). Nach dem Gesagten ist eine Verletzung des Anspruchs der Beschwerdeführerin auf rechtliches Gehör durch das erwähnte Vorgehen des Bundesamtes zu verneinen. Zudem wurde damit der entscheidwesentliche Sachverhalt in genüglicher Weise und umfassend abgeklärt.</w:t>
      </w:r>
    </w:p>
    <w:p>
      <w:r>
        <w:rPr>
          <w:b/>
        </w:rPr>
        <w:t>E. 5</w:t>
      </w:r>
    </w:p>
    <w:p>
      <w:r>
        <w:t>Der Prüfung eines derivativen Anspruchs auf Anerkennung als Flüchtling im Sinne von Art. 51 AsylG geht die Prüfung der originären Flüchtlingseigenschaft nach Art. 3 AsylG vor (Art. 37 AsylV 1). Im Folgenden ist deshalb zunächst über das von der Beschwerdeführerin im Ausland gestellte Asylgesuch zu befinden.</w:t>
      </w:r>
    </w:p>
    <w:p>
      <w:r>
        <w:rPr>
          <w:b/>
        </w:rPr>
        <w:t>E. 6.1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6.2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1997 Nr. 15, insbesondere S. 131 ff., welcher Entscheid - wie bereits früher erwähnt [vgl. vorstehend E. 3] -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EMARK 2004 Nr. 21 E. 4a S. 139). In diese Gesamtschau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6.4</w:t>
      </w:r>
    </w:p>
    <w:p>
      <w:r>
        <w:t>Die Beschwerdeführerin stellt sich zur Begründung ihrer Beschwerde vom 6. Oktober 2010 auf den Standpunkt, dass im Sudan keine hinreichende Sicherheit gewährleistet sei, da die dortige Praxis keinen zuverlässigen Schutz vor Rückschiebung in Verfolgerstaaten gewähre und Flüchtlinge in vielfacher Hinsicht diskriminiert würden. Zudem sei es in der Vergangenheit auch zu Deportationen von durch das UNHCR registrierten Flüchtlingen nach Eritrea gekommen. Aufgrund dieser unzureichenden Schutzfähigkeit des Sudans versuche die Beschwerdeführerin trotz ihrer Registrierung beim UNHCR in G._______, alleine und illegal in E._______ zu überleben. Aus Furcht davor, bei einer Razzia von den sudanesischen Behörden aufgegriffen und offiziell den eritreischen Behörden übergeben zu werden, suche sie in der Schweiz um Asyl nach (vgl. Beschwerde S. 5).</w:t>
      </w:r>
    </w:p>
    <w:p>
      <w:r>
        <w:rPr>
          <w:b/>
        </w:rPr>
        <w:t>E. 6.5</w:t>
      </w:r>
    </w:p>
    <w:p>
      <w:r>
        <w:t>Zunächst ist darauf hinzuweisen, dass das Bundesverwaltungsgericht mit der Vorinstanz darin einig geht, wonach die Beschwerdeführerin aufgrund der von ihr dargelegten Vergangenheit in ihrem Heimatstaat vor und während ihrer Ausreise aus Eritrea ernstzunehmende Schwierigkeiten mit den eritreischen Behörden hatte. Aus diesen Gründen ist nicht auszuschliessen, dass sie bei einer Rückkehr nach Eritrea einer asylrelevanten Gefährdung ausgesetzt sein könnte.</w:t>
      </w:r>
    </w:p>
    <w:p>
      <w:r>
        <w:rPr>
          <w:b/>
        </w:rPr>
        <w:t>E. 6.6</w:t>
      </w:r>
    </w:p>
    <w:p>
      <w:r>
        <w:t>Weiter ist zu prüfen, ob es der Beschwerdeführerin zugemutet werden kann, sich in einem anderen Drittstaat um Aufnahme zu bemühen (Art. 20 Abs. 2 und Art. 52 Abs. 2 AsylG). Die Überprüfung der Akten ergibt, dass sich die diesbezüglichen Erwägungen in der angefochtenen Verfügung als zutreffend erweisen (vgl. Sachverhalt Bst. E). Die Beschwerdeführerin und ihr Kind befinden sich seit mehr als zwei Jahren im Sudan, wo sie vom UNHCR registriert sind und ohne ernsthafte Probleme leben. Zwar werden - wie in der Beschwerde geltend gemacht - durch die sudanesischen Behörden tatsächlich teilweise eritreische Asylsuchende und Flüchtlinge nach Eritrea deportiert. Diese Rückführungen erfolgen indessen nicht flächendeckend. Zudem bestehen im vorliegenden Fall keine konkreten Hinweise auf eine drohende Deportation der Beschwerdeführerin und ihres Kindes. Sie ist im Sudan einem Flüchtlingscamp zugewiesen worden, hat es jedoch den Akten zufolge vorgezogen, sich in L._______/E._______ in einer Wohngemeinschaft mit anderen, ihr nicht verwandten eritreischen Staatsangehörigen aufzuhalten. Sollte sie eine Deportation ernsthaft befürchten, wäre es ihr zuzumuten, in das ihr zugewiesene Flüchtlingscamp zurückzukehren. Ihr Kind lebt seit Mai 2008 bei der Grossmutter väterlicherseits ebenfalls in L._______. Unter diesen Umständen erweist sich die Einschätzung der Vorinstanz als zutreffend, wonach die Beschwerdeführerin auch im Sudan über familiäre Anknüpfungspunkte verfügt und auf den Beistand und die Unterstützung von mindestens einer verwandten Person zählen kann. Ausserdem lebt sie nun schon seit bald (...) Jahren im Sudan, wo sie im Übrigen auch geboren ist, und vermochte eine gewisse Selbständigkeit zu entfalten, indem sie in einer Wohngemeinschaft ausserhalb des Flüchtlingscamps untergekommen ist und arbeitet. In diesem Zusammenhang ist auch auf die grosse eritreische Gemeinschaft in E._______ zu verweisen, die eine weitere Eingliederung ebenfalls erleichtert. Obwohl also die Beschwerdeführerin mit ihrer Mutter und den Geschwistern über einen Anknüpfungspunkt zur Schweiz verfügt, ist dieser nicht derart gewichtig, als dass eine Abwägung der Gesamtumstände im Sinne von Art. 52. Abs. 2 AsylG dazu führen müsste, dass es gerade die Schweiz ist, die den erforderlichen Schutz gewähren soll (vgl. D-4758/2010). Dies muss umso mehr gelten, als die Beschwerdeführerin mit ihren in der Schweiz lebenden Familienangehörigen kaum je zusammengelebt hat, wuchs sie doch beim von der Mutter getrennt lebenden Vater auf.</w:t>
      </w:r>
    </w:p>
    <w:p>
      <w:r>
        <w:rPr>
          <w:b/>
        </w:rPr>
        <w:t>E. 6.7</w:t>
      </w:r>
    </w:p>
    <w:p>
      <w:r>
        <w:t>Zusammenfassend erhellt somit, dass das BFM das Asylgesuch aus dem Ausland zu Recht abgelehnt hat.</w:t>
      </w:r>
    </w:p>
    <w:p>
      <w:r>
        <w:rPr>
          <w:b/>
        </w:rPr>
        <w:t>E. 7.1</w:t>
      </w:r>
    </w:p>
    <w:p>
      <w:r>
        <w:t>Ehegatten von Flüchtlingen und ihre minderjährigen Kinder werden als Flüchtlinge anerkannt und erhalten Asyl, sofern keine besonderen Umstände dagegen sprechen (Art. 51 Abs. 1 AsylG). Gemäss Art. 51 Abs. 2 AsylG können andere nahe Familienangehörige von in der Schweiz lebenden Flüchtlingen in das Familienasyl eingeschlossen werden, wenn besondere Gründe für die Familienvereinigung sprechen. Wurden die anspruchsberechtigten Personen nach den Absätzen 1 und 2 durch die Flucht getrennt und befinden sie sich im Ausland, so ist ihre Einreise auf Gesuch hin zu bewilligen (Art. 51 Abs. 4 AsylG).</w:t>
      </w:r>
    </w:p>
    <w:p>
      <w:r>
        <w:rPr>
          <w:b/>
        </w:rPr>
        <w:t>E. 7.2</w:t>
      </w:r>
    </w:p>
    <w:p>
      <w:r>
        <w:t>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2001 Nr. 24 E. 3 S. 191, EMARK 2000 Nr. 11 S. 86 ff.).</w:t>
      </w:r>
    </w:p>
    <w:p>
      <w:r>
        <w:rPr>
          <w:b/>
        </w:rPr>
        <w:t>E. 7.3</w:t>
      </w:r>
    </w:p>
    <w:p>
      <w:r>
        <w:t>Das BFM kam in der angefochtenen Verfügung vom 3. September 2010 zum Schluss, dass keine besonderen Gründe für eine Familien­vereinigung im Sinne von Art. 51 Abs. 2 AsylG vorlägen. Dieser Ein­schätzung ist beizupflichten. Auch die Ausführungen in der Be­schwerdeeingabe, wonach - vor allem aufgrund der kausalen Verbindung zwischen der Flucht der Mutter mit dem Schicksal der Beschwerdeführerin - ohne Weiteres besondere Gründe im Sinne des Gesetzes als gegeben zu sehen seien (vgl. Beschwerde S. 5), vermögen zu keiner anderen Beurteilung zu führen. Insbesondere führte die Vorinstanz zu Recht aus, dass die Beschwerdeführerin und ihre Mutter nur für sehr kurze Zeit in einem gemeinsamen Haushalt gelebt hätten und Erstere bereits im Alter von einem Jahr zu ihrem Vater und dessen neuer Ehefrau gekommen und aufgewachsen sei. Zudem erweisen sich auch die übrigen diesbezüglichen Erwägungen in der angefochtenen Verfügung nach Überprüfung der Akten als zutreffend (vgl. Sachverhalt Bst. E). Schliesslich kann die in der Beschwerde aufgeworfene Frage eines Familiennachzug gemäss Art. 85 Abs. 7 des Bundesgesetzes vom 16. Dezember 2005 über die Ausländerinnen und Ausländer (AuG, SR 142.20) offengelassen werden, zumal diese Bestimmung den Familiennachzug von Ehegatten und lediger Kinder unter 18 Jahren von vorläufig aufgenommenen Personen und vorläufig aufgenommenen Flüchtlingen zum Gegenstand hat.</w:t>
      </w:r>
    </w:p>
    <w:p>
      <w:r>
        <w:rPr>
          <w:b/>
        </w:rPr>
        <w:t>E. 7.4</w:t>
      </w:r>
    </w:p>
    <w:p>
      <w:r>
        <w:t>Zusammenfassend ist festzuhalten, dass die Voraussetzungen für den Einschluss der Beschwerdeführerin in das Familienasyl gemäss Art. 51 Abs. 2 AsylG respektive die Bewilligung ihrer Einreise in die Schweiz gemäss Art. 51 Abs. 4 AsylG nicht erfüllt sind. Das BFM hat somit sowohl das Gesuch um Einreise der Beschwerdeführerin in die Schweiz als auch das Familienasylgesuch zu Recht abgelehnt.</w:t>
      </w:r>
    </w:p>
    <w:p>
      <w:r>
        <w:rPr>
          <w:b/>
        </w:rPr>
        <w:t>E. 8</w:t>
      </w:r>
    </w:p>
    <w:p>
      <w:r>
        <w:t>Aus diesen Erwägungen ergibt sich, dass die Verfügung des BFM vom 3. September 2010 Bundesrecht nicht verletzt, den rechtserheblichen Sachverhalt richtig und vollständig feststellt und angemessen ist (Art. 106 AsylG). Die Beschwerde ist demnach abzuweisen.</w:t>
      </w:r>
    </w:p>
    <w:p>
      <w:r>
        <w:rPr>
          <w:b/>
        </w:rPr>
        <w:t>E. 9</w:t>
      </w:r>
    </w:p>
    <w:p>
      <w:r>
        <w:t>Bei diesem Ausgang des Verfahrens sind dessen Kosten grundsätzlich der Beschwerdeführerin aufzuerlegen (Art. 63 Abs. 1 VwVG). Da die Beschwerde jedoch im Zeitpunkt ihrer Einreichung nicht als aussichtslos betrachtet werden konnte und die Bedürftigkeit der Beschwerdeführerin belegt ist,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